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Circadiane Gene SCN und hormonelle Zeitgebung</w:t>
      </w:r>
    </w:p>
    <w:p>
      <w:pPr>
        <w:spacing w:after="240"/>
      </w:pPr>
      <w:r>
        <w:t>Thema 89  |  Körper und Schlaf</w:t>
      </w:r>
    </w:p>
    <w:p>
      <w:r>
        <w:rPr>
          <w:b/>
        </w:rPr>
        <w:t>Die innere Uhr entsteht aus gekoppelten molekularen und neuronalen Rückkopplungen</w:t>
      </w:r>
    </w:p>
    <w:p>
      <w:pPr>
        <w:widowControl/>
      </w:pPr>
      <w:r>
        <w:t>CLOCK, BMAL1, PER und CRY bilden zentrale Elemente circadianer Zeitgebung. Der suprachiasmatische Nukleus koordiniert viele Rhythmen, während Organe eigene Uhren besitzen. Die Analyse verbindet Genexpression, Lichtinput, neuronale Weitergabe und hormonelle Ausgänge.</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Molekulare Schleifen</w:t>
      </w:r>
    </w:p>
    <w:p>
      <w:pPr>
        <w:widowControl/>
      </w:pPr>
      <w:r>
        <w:t>CLOCK und BMAL1 wirken als Transkriptionsfaktoren und fördern unter anderem die Expression von PER und CRY. Die entstehenden Proteine tragen verzögert zur Hemmung der aktivierenden Prozesse bei. Abbau, Transport und weitere regulatorische Schleifen erzeugen einen Rhythmus in der Größenordnung eines Tages. Dies ist kein einfacher Schalter, bei dem ein einziges Gen direkt Schlaf auslöst. Gewebe unterscheiden sich in Phasenlage und nachgeschalteten Funktionen. Tierexperimentelle Arbeiten zur pankreatischen Uhr zeigen, dass diese lokale Zeitorganisation für Stoffwechselfunktionen relevant sein kann. [1]</w:t>
      </w:r>
    </w:p>
    <w:p>
      <w:pPr>
        <w:pStyle w:val="Heading1"/>
      </w:pPr>
      <w:r>
        <w:t>2 SCN als koordinierendes Netzwerk</w:t>
      </w:r>
    </w:p>
    <w:p>
      <w:pPr>
        <w:widowControl/>
      </w:pPr>
      <w:r>
        <w:t>Der SCN liegt im Hypothalamus und erhält Lichtinformation über die Retina, einschließlich melanopsinhaltiger Ganglienzellen. Retinohypothalamische Signale koppeln äußere Beleuchtung an die innere Zeitgebung. Innerhalb des SCN müssen viele zelluläre Oszillatoren synchronisiert werden. Experimentelle Forschung zu VIP Neuronen zeigt, dass Muster neuronaler Aktivität zur Synchronisation und Anpassung beitragen. [2] Der Begriff Master Clock beschreibt Koordination; er bedeutet nicht, dass alle peripheren Rhythmen jederzeit identisch reagieren.</w:t>
      </w:r>
    </w:p>
    <w:p>
      <w:pPr>
        <w:pStyle w:val="Heading1"/>
      </w:pPr>
      <w:r>
        <w:t>3 Hormonelle Ausgänge und Alltag</w:t>
      </w:r>
    </w:p>
    <w:p>
      <w:pPr>
        <w:widowControl/>
      </w:pPr>
      <w:r>
        <w:t>Über neuronale und autonome Wege beeinflusst die circadiane Organisation unter anderem Melatonin, Körpertemperatur und die zeitliche Struktur von Wachheit. Melatonin wird durch ein mehrstufiges Signalnetz mit der Dunkelphase verknüpft; es ist kein einfaches direktes Sekret des SCN. Mahlzeiten, Aktivität und soziale Zeiten können periphere Rhythmen zusätzlich prägen. Bei Schichtarbeit oder Jetlag geraten diese Signale auseinander. Die richtige Intervention hängt deshalb von innerer Phase und gewünschter Verschiebung ab. Ein genetischer Befund allein liefert weder eine ideale Matratzenhärte noch einen vollständigen persönlichen Schlafplan.</w:t>
      </w:r>
    </w:p>
    <w:p>
      <w:pPr>
        <w:pStyle w:val="Heading1"/>
      </w:pPr>
      <w:r>
        <w:t>4 Phase und Amplitude sind nicht dieselbe Störung</w:t>
      </w:r>
    </w:p>
    <w:p>
      <w:pPr>
        <w:widowControl/>
      </w:pPr>
      <w:r>
        <w:t>Ein Rhythmus kann zeitlich verschoben sein, ohne schwächer zu werden. Er kann auch eine geringere Amplitude besitzen, während der Zeitpunkt ungefähr erhalten bleibt. Diese Fälle verlangen unterschiedliche Modelle und möglicherweise unterschiedliche Interventionen. Eine einzelne Probe kann beides kaum unterscheiden. Bei Genexpression kommt hinzu, dass verschiedene Gewebe unterschiedliche Phasen haben können. Eine Blutprobe ist daher kein vollständiges Abbild der Uhr in Leber, Pankreas oder Gehirn. Für Personalisierung sind wiederholte geeignete Marker und ein klarer Zweck erforderlich. Der Begriff circadiane Dysregulation sollte nicht jede Abweichung einer einzelnen Messung zusammenfassen.</w:t>
      </w:r>
    </w:p>
    <w:p>
      <w:pPr>
        <w:pStyle w:val="Heading1"/>
      </w:pPr>
      <w:r>
        <w:t>5 Zeitliche Auflösung und biologische Vergleichbarkeit</w:t>
      </w:r>
    </w:p>
    <w:p>
      <w:pPr>
        <w:widowControl/>
      </w:pPr>
      <w:r>
        <w:t>Schlaf ist kein einheitlicher achtstündiger Zustand. Eine Messung hängt davon ab, in welchem Schlafstadium sie erfolgt, wie lange eine Person zuvor wach war und an welcher Stelle ihrer inneren Nacht sie sich befindet. Gleiche Uhrzeit bedeutet bei unterschiedlichen Chronotypen nicht zwingend gleiche biologische Phase. Für eine physiologische Studie werden deshalb Schlafzeitplan, vorausgehende Schlafdauer, Licht, Mahlzeiten und relevante Medikamente erfasst.</w:t>
      </w:r>
    </w:p>
    <w:p>
      <w:pPr>
        <w:widowControl/>
      </w:pPr>
      <w:r>
        <w:t>Ein einzelner Morgenwert kann einen Verlauf nicht ersetzen. Umgekehrt können häufige Blutabnahmen den Schlaf selbst stören. Kontinuierliche Signale benötigen eine Qualitätsprüfung, eine definierte zeitliche Zuordnung und eine Auswertung der fehlenden Abschnitte. Gruppenmittel glätten individuelle Spitzen und Übergänge. Eine schematische Kurve auf der Begleitseite zeigt deshalb eine zeitliche Beziehung; sie ist keine Referenzkurve, an der eine Person ihre Gesundheit ablesen kann. Die passende Messmethode richtet sich nach der Frage, nicht nach der Zahl verfügbarer Sensoren.</w:t>
      </w:r>
    </w:p>
    <w:p>
      <w:pPr>
        <w:pStyle w:val="Heading1"/>
      </w:pPr>
      <w:r>
        <w:t>6 Kausale Ketten zwischen Schlaf und Bettprodukt</w:t>
      </w:r>
    </w:p>
    <w:p>
      <w:pPr>
        <w:widowControl/>
      </w:pPr>
      <w:r>
        <w:t>Eine plausible Wirkungskette kann lauten: Eine Umgebung verändert Komfort oder Störungen, dadurch verändert sich Schlaf, und veränderter Schlaf beeinflusst eine physiologische Funktion. Jede Verbindung benötigt eigene Evidenz. Ein Experiment zu Schlafentzug belegt nicht automatisch, dass ein hochwertiges Material dieselbe Funktion verbessert. Ebenso erklärt ein molekularer Mechanismus noch nicht, wie groß ein praktisch erreichbarer Nutzen im Alltag wäre.</w:t>
      </w:r>
    </w:p>
    <w:p>
      <w:pPr>
        <w:widowControl/>
      </w:pPr>
      <w:r>
        <w:t>Die Prüfung beginnt daher mit einem klar definierten Endpunkt und einer passenden Vergleichsbedingung. Bei einer Produktintervention sollten Temperatur, Liegegefühl, Erwartungen und Geräusche möglichst getrennt erfasst werden. Sonst bleibt unklar, welcher Bestandteil die Veränderung erklärt. Ein Biomarker kann aufschlussreich sein, ohne ein validierter Ersatz für Erholung, Lebensqualität oder Erkrankungsrisiko zu sein. Für STOLL ist die wissenschaftlich saubere Aussage häufig enger als die ursprüngliche Hypothese: Eine störungsarme Umgebung kann guten Schlaf unterstützen; ein bestimmter Hormonwert oder eine Krankheitsprävention lässt sich daraus nicht zusichern.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Molekulare Uhr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Zeitlich verzögerte Rückkopplung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Genexpression ist nicht identisch mit Schlafstadium</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SCN Netzwerk</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Koordiniert und verarbeitet Lichtzeitgeber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Viele gekoppelte Zellen statt ein einzelner Taktgeber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Periphere Uhren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Organbezogene Zeitorganisation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Können anders auf Mahlzeiten oder Schichtarbeit reagieren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Phase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Zeit eines definierten Rhythmusmarkers</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Uhrzeit und biologische Zeit unterscheiden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Amplitude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Höhe des rhythmischen Ausschlags</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aus einer Einzelprobe ableitbar</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Lichtinput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Spektrum Intensität Zeitpunkt und Dauer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Farbtemperatur allein nicht ausreichend</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Eine mechanistische Untersuchung erfasst Phasenlage und Amplitude über mehrere Zeitpunkte. Eine einzige Genexpressionsprobe ist kein Tagesprofil. Bei Humanstudien werden Licht, Mahlzeiten und Schlafplan dokumentiert. Praktische Lichtinterventionen orientieren sich an einer plausiblen inneren Phase und werden nicht nur nach einer beliebigen Uhrzeit geplant.</w:t>
      </w:r>
    </w:p>
    <w:p>
      <w:pPr>
        <w:pStyle w:val="Heading1"/>
      </w:pPr>
      <w:r>
        <w:t>Konsequenzen für STOLL und die Beratung</w:t>
      </w:r>
    </w:p>
    <w:p>
      <w:pPr>
        <w:widowControl/>
      </w:pPr>
      <w:r>
        <w:t>STOLL kann regelmäßige Zeitgeber und eine geeignete Lichtumgebung erklären. Eine Matratze unterstützt Komfort, stellt aber nicht direkt CLOCK oder BMAL1 ein. Chronotypangebote sollten konkrete Funktionen wie zeitlich angepasste Temperatur oder Verdunkelung benennen.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Die innere Uhr entsteht aus gekoppelten molekularen und neuronalen Rückkopplungen. CLOCK, BMAL1, PER und CRY bilden zentrale Elemente circadianer Zeitgebung.</w:t>
      </w:r>
    </w:p>
    <w:p>
      <w:pPr>
        <w:pStyle w:val="Heading1"/>
      </w:pPr>
      <w:r>
        <w:t>Quellen und Grenzen der Übertragbarkeit</w:t>
      </w:r>
    </w:p>
    <w:p>
      <w:pPr>
        <w:keepNext/>
        <w:keepLines/>
      </w:pPr>
      <w:r>
        <w:t xml:space="preserve">[1] </w:t>
      </w:r>
      <w:hyperlink r:id="rId11">
        <w:r>
          <w:rPr>
            <w:color w:val="155D76"/>
          </w:rPr>
          <w:t>Intrinsic pancreatic beta cell clock and insulin release</w:t>
        </w:r>
      </w:hyperlink>
      <w:r>
        <w:br/>
        <w:t>Tierexperiment; kein genetischer Test zur Bettenauswahl. Zugriff 30 September 2026.</w:t>
      </w:r>
    </w:p>
    <w:p>
      <w:pPr>
        <w:keepNext/>
        <w:keepLines/>
      </w:pPr>
      <w:r>
        <w:t xml:space="preserve">[2] </w:t>
      </w:r>
      <w:hyperlink r:id="rId12">
        <w:r>
          <w:rPr>
            <w:color w:val="155D76"/>
          </w:rPr>
          <w:t>Entrainment of circadian rhythms depends on SCN VIP neuron firing rates</w:t>
        </w:r>
      </w:hyperlink>
      <w:r>
        <w:br/>
        <w:t>Experimentelle neuronale Mechanismen; keine direkte Verbraucherintervention. Zugriff 30 September 2026.</w:t>
      </w:r>
    </w:p>
    <w:p>
      <w:pPr>
        <w:keepNext/>
        <w:keepLines/>
      </w:pPr>
      <w:r>
        <w:t xml:space="preserve">[3] </w:t>
      </w:r>
      <w:hyperlink r:id="rId13">
        <w:r>
          <w:rPr>
            <w:color w:val="155D76"/>
          </w:rPr>
          <w:t>CDC Yellow Book 2026 Jet Lag Disorder</w:t>
        </w:r>
      </w:hyperlink>
      <w:r>
        <w:br/>
        <w:t>Offizielle reisemedizinische Orientierung; individuelles Timing benötigt Reiseroute und innere Phase. Zugriff 30 September 2026.</w:t>
      </w:r>
    </w:p>
    <w:p>
      <w:r>
        <w:rPr>
          <w:i/>
        </w:rPr>
        <w:t>Begleitseite: 89.html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89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20890745/" TargetMode="External"/><Relationship Id="rId12" Type="http://schemas.openxmlformats.org/officeDocument/2006/relationships/hyperlink" Target="https://pubmed.ncbi.nlm.nih.gov/30017392/" TargetMode="External"/><Relationship Id="rId13" Type="http://schemas.openxmlformats.org/officeDocument/2006/relationships/hyperlink" Target="https://www.cdc.gov/yellow-book/hcp/travel-air-sea/jet-lag-disord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