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REM Schlaf Gedächtnis und Folgen der REM Reduktion</w:t>
      </w:r>
    </w:p>
    <w:p>
      <w:pPr>
        <w:spacing w:after="240"/>
      </w:pPr>
      <w:r>
        <w:t>Thema 87  |  Körper und Schlaf</w:t>
      </w:r>
    </w:p>
    <w:p>
      <w:r>
        <w:rPr>
          <w:b/>
        </w:rPr>
        <w:t>REM beteiligt sich an Gedächtnisprozessen ist aber kein alleiniger Gedächtnisspeicher</w:t>
      </w:r>
    </w:p>
    <w:p>
      <w:pPr>
        <w:widowControl/>
      </w:pPr>
      <w:r>
        <w:t>Die Recherche verbindet emotionales und deklaratives Gedächtnis mit aktuellen mechanistischen Ansätzen. Sie behandelt außerdem die Folgen reduzierten REM Schlafs. Ergebnisse aus gezielter experimenteller Unterbrechung, Tiermodellen und Medikamentennutzung werden getrennt eingeordnet.</w:t>
      </w:r>
    </w:p>
    <w:p>
      <w:pPr>
        <w:pStyle w:val="Heading1"/>
      </w:pPr>
      <w:r>
        <w:t>Fragestellung und Recherchegrundlage</w:t>
      </w:r>
    </w:p>
    <w:p>
      <w:pPr>
        <w:widowControl/>
      </w:pPr>
      <w:r>
        <w:t>Diese Ausarbeitung ist eine gezielte narrative Recherche mit Stand 30 September 2026. Ausgangspunkt sind die konkrete Themenfrage, wissenschaftliche Publikationen und bei technischen oder rechtlichen Fragen die zuständigen Originalquellen. Die vom Auftraggeber bereitgestellten Worddateien dienen als Vorbilder für fachliche Gliederung und vergleichende Darstellung. Ihre einzelnen Aussagen wurden nicht ungeprüft übernommen. Die Recherche ist keine systematische Vollerhebung, keine Metaanalyse und keine Zertifizierung eines Produkts.</w:t>
      </w:r>
    </w:p>
    <w:p>
      <w:pPr>
        <w:widowControl/>
      </w:pPr>
      <w:r>
        <w:t>Die Quellen wurden über zugängliche Publikationsseiten, bibliografische Datensätze und verfügbare Auszüge geprüft. Nicht für jede Quelle war ein vollständiger Artikel zugänglich. Wo nur Zusammenfassung oder Auszug vorlag, beschränkt sich die Beschreibung auf die dort erkennbaren Angaben. Zahlen werden nur mit ihrem Studienkontext genannt; fehlende Detailangaben werden nicht ergänzt. Eine Formulierung wie „kein belastbarer Nachweis identifiziert“ beschreibt das Ergebnis dieser gezielten Recherche und beweist nicht, dass weltweit keinerlei Arbeit existiert.</w:t>
      </w:r>
    </w:p>
    <w:p>
      <w:pPr>
        <w:widowControl/>
      </w:pPr>
      <w:r>
        <w:t>Die Quellenziffern im Text verweisen auf das Verzeichnis am Ende. Direkt untersuchte Befunde, mechanistische Überlegungen und eigene praktische Ableitungen sind sprachlich getrennt. Hypothetische Fälle illustrieren die Entscheidungslogik; sie sind keine dokumentierten Kundenerfahrungen. Die vorgeschlagenen Prüfpläne sind eigene Entwürfe. Sie legen weder eine verbindliche Norm noch einen medizinischen Behandlungsablauf fest. Aussagen über eine Produktklasse werden nicht automatisch auf einzelne Modelle übertragen.</w:t>
      </w:r>
    </w:p>
    <w:p>
      <w:pPr>
        <w:pStyle w:val="Heading1"/>
      </w:pPr>
      <w:r>
        <w:t>1 Arbeitsteilung zwischen Schlafprozessen</w:t>
      </w:r>
    </w:p>
    <w:p>
      <w:pPr>
        <w:widowControl/>
      </w:pPr>
      <w:r>
        <w:t>Deklaratives Gedächtnis umfasst bewusst abrufbare Fakten und Ereignisse. Emotional bedeutsame Ereignisse sind keine vollständig getrennte Gedächtniskategorie. Modelle der Konsolidierung beziehen Reaktivierung, Integration und Veränderung der Gewichtung von Erinnerungen ein. NREM Oszillationen und REM Prozesse können nacheinander oder ergänzend beitragen. Die verbreitete Zuordnung NREM nur Fakten und REM nur Gefühle ist deshalb zu einfach. Eine bessere Erinnerung an einen emotionalen Bildteil bedeutet zudem nicht automatisch eine therapeutische Verarbeitung der Emotion.</w:t>
      </w:r>
    </w:p>
    <w:p>
      <w:pPr>
        <w:pStyle w:val="Heading1"/>
      </w:pPr>
      <w:r>
        <w:t>2 Experimentelle Belege mit unterschiedlicher Reichweite</w:t>
      </w:r>
    </w:p>
    <w:p>
      <w:pPr>
        <w:widowControl/>
      </w:pPr>
      <w:r>
        <w:t>Eine Humanstudie mit Tagschlaf untersuchte emotionale Erinnerung und ihre Beziehung zu REM und präfrontaler Thetaaktivität. [1] Sie unterstützt einen Zusammenhang im untersuchten Paradigma, isoliert aber nicht jeden Mechanismus. Boyce und Kollegen störten in Mäusen gezielt REM bezogene Thetaaktivität und zeigten Auswirkungen auf bestimmte Gedächtnisaufgaben. [2] Diese gezielte Manipulation liefert stärkere kausale Information zum Tiermodell. Sie ist kein Beleg dafür, dass ein bestimmter menschlicher REM Prozentwert universell optimal wäre.</w:t>
      </w:r>
    </w:p>
    <w:p>
      <w:pPr>
        <w:pStyle w:val="Heading1"/>
      </w:pPr>
      <w:r>
        <w:t>3 REM Suppression und Langzeitfolgen</w:t>
      </w:r>
    </w:p>
    <w:p>
      <w:pPr>
        <w:widowControl/>
      </w:pPr>
      <w:r>
        <w:t>Wiederholtes Wecken aus REM verändert auch Stress, Gesamtschlaf und Fragmentierung. Medikamente, die REM beeinflussen, wirken zusätzlich an anderen Systemen und werden bei Erkrankungen eingesetzt, die selbst den Schlaf verändern. Deshalb kann ein beobachteter Zusammenhang nicht allein REM zugeschrieben werden. Eine pauschale langfristige Gedächtnisschädigung durch jede REM Reduktion ist nicht aus den beschriebenen Experimenten ableitbar. Umgekehrt ist fehlender offensichtlicher Schaden kein Beweis vollständiger Bedeutungslosigkeit. Relevante Forschung benötigt gezielte Eingriffe, passende Kontrollbedingungen und längerfristige funktionelle Endpunkte.</w:t>
      </w:r>
    </w:p>
    <w:p>
      <w:pPr>
        <w:pStyle w:val="Heading1"/>
      </w:pPr>
      <w:r>
        <w:t>4 Gedächtnisleistung und emotionale Reaktivität</w:t>
      </w:r>
    </w:p>
    <w:p>
      <w:pPr>
        <w:widowControl/>
      </w:pPr>
      <w:r>
        <w:t>Eine Person kann eine belastende Szene besser erinnern und zugleich weniger stark emotional darauf reagieren. Konsolidierung des Inhalts und Veränderung der emotionalen Reaktion sind deshalb getrennte Endpunkte. Ein Experiment sollte Wiedererkennung, Details, subjektive Bewertung und gegebenenfalls physiologische Reaktion unterscheiden. Wenn nur eine dieser Größen gemessen wird, bleibt die Aussage entsprechend eng. Auch die Zeit zwischen Lernen, Schlaf und Test beeinflusst das Ergebnis. Ein Tagschlafparadigma kann einen Mechanismus untersuchen, bildet aber nicht jede vollständige Nacht und nicht die langfristige Verarbeitung klinisch belastender Erfahrungen ab.</w:t>
      </w:r>
    </w:p>
    <w:p>
      <w:pPr>
        <w:pStyle w:val="Heading1"/>
      </w:pPr>
      <w:r>
        <w:t>5 Zeitliche Auflösung und biologische Vergleichbarkeit</w:t>
      </w:r>
    </w:p>
    <w:p>
      <w:pPr>
        <w:widowControl/>
      </w:pPr>
      <w:r>
        <w:t>Schlaf ist kein einheitlicher achtstündiger Zustand. Eine Messung hängt davon ab, in welchem Schlafstadium sie erfolgt, wie lange eine Person zuvor wach war und an welcher Stelle ihrer inneren Nacht sie sich befindet. Gleiche Uhrzeit bedeutet bei unterschiedlichen Chronotypen nicht zwingend gleiche biologische Phase. Für eine physiologische Studie werden deshalb Schlafzeitplan, vorausgehende Schlafdauer, Licht, Mahlzeiten und relevante Medikamente erfasst.</w:t>
      </w:r>
    </w:p>
    <w:p>
      <w:pPr>
        <w:widowControl/>
      </w:pPr>
      <w:r>
        <w:t>Ein einzelner Morgenwert kann einen Verlauf nicht ersetzen. Umgekehrt können häufige Blutabnahmen den Schlaf selbst stören. Kontinuierliche Signale benötigen eine Qualitätsprüfung, eine definierte zeitliche Zuordnung und eine Auswertung der fehlenden Abschnitte. Gruppenmittel glätten individuelle Spitzen und Übergänge. Eine schematische Kurve auf der Begleitseite zeigt deshalb eine zeitliche Beziehung; sie ist keine Referenzkurve, an der eine Person ihre Gesundheit ablesen kann. Die passende Messmethode richtet sich nach der Frage, nicht nach der Zahl verfügbarer Sensoren.</w:t>
      </w:r>
    </w:p>
    <w:p>
      <w:pPr>
        <w:pStyle w:val="Heading1"/>
      </w:pPr>
      <w:r>
        <w:t>6 Kausale Ketten zwischen Schlaf und Bettprodukt</w:t>
      </w:r>
    </w:p>
    <w:p>
      <w:pPr>
        <w:widowControl/>
      </w:pPr>
      <w:r>
        <w:t>Eine plausible Wirkungskette kann lauten: Eine Umgebung verändert Komfort oder Störungen, dadurch verändert sich Schlaf, und veränderter Schlaf beeinflusst eine physiologische Funktion. Jede Verbindung benötigt eigene Evidenz. Ein Experiment zu Schlafentzug belegt nicht automatisch, dass ein hochwertiges Material dieselbe Funktion verbessert. Ebenso erklärt ein molekularer Mechanismus noch nicht, wie groß ein praktisch erreichbarer Nutzen im Alltag wäre.</w:t>
      </w:r>
    </w:p>
    <w:p>
      <w:pPr>
        <w:widowControl/>
      </w:pPr>
      <w:r>
        <w:t>Die Prüfung beginnt daher mit einem klar definierten Endpunkt und einer passenden Vergleichsbedingung. Bei einer Produktintervention sollten Temperatur, Liegegefühl, Erwartungen und Geräusche möglichst getrennt erfasst werden. Sonst bleibt unklar, welcher Bestandteil die Veränderung erklärt. Ein Biomarker kann aufschlussreich sein, ohne ein validierter Ersatz für Erholung, Lebensqualität oder Erkrankungsrisiko zu sein. Für STOLL ist die wissenschaftlich saubere Aussage häufig enger als die ursprüngliche Hypothese: Eine störungsarme Umgebung kann guten Schlaf unterstützen; ein bestimmter Hormonwert oder eine Krankheitsprävention lässt sich daraus nicht zusichern.</w:t>
      </w:r>
    </w:p>
    <w:p>
      <w:pPr>
        <w:pStyle w:val="Heading1"/>
      </w:pPr>
      <w:r>
        <w:t>Vergleich der relevanten Ansätze</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Ansatz</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Möglicher Beitrag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Grenze der Aussage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Emotionale Erinnerung</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REM Zusammenhänge in Experimenten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Aufgabe und Emotionstyp begrenzen Übertragbarkeit</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Gezielte Theta Manipulation</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Kausale Mechanismen im Tiermodell</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Nicht direkt menschliche Langzeitfolge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Medikamentöse REM Änderung</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Klinisch beobachtbar</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Grunderkrankung und andere Wirkungen mitbeachten</w:t>
            </w:r>
          </w:p>
        </w:tc>
      </w:tr>
    </w:tbl>
    <w:p>
      <w:pPr>
        <w:spacing w:after="20"/>
      </w:pPr>
    </w:p>
    <w:p>
      <w:pPr>
        <w:pStyle w:val="Heading1"/>
      </w:pPr>
      <w:r>
        <w:t>Messgrößen und ihre Interpretation</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Messgröße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Prüfung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Wichtige Grenze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Erinnerungsleistung</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Vorher Nachher und verzögerter Abruf</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Aufgabenspezifisch</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REM Aktivität</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PSG und gegebenenfalls Spektralanalyse</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Dauer und neuronales Muster unterscheiden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Emotionaler Zustand</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Validierte Maße</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Bessere Erinnerung nicht automatisch weniger Belastung</w:t>
            </w:r>
          </w:p>
        </w:tc>
      </w:tr>
    </w:tbl>
    <w:p>
      <w:pPr>
        <w:spacing w:after="20"/>
      </w:pPr>
    </w:p>
    <w:p>
      <w:pPr>
        <w:pStyle w:val="Heading1"/>
      </w:pPr>
      <w:r>
        <w:t>Einordnung der Beweiskraft</w:t>
      </w:r>
    </w:p>
    <w:p>
      <w:pPr>
        <w:widowControl/>
      </w:pPr>
      <w:r>
        <w:t>Für die Einordnung zählt zuerst, ob die Quelle genau die gestellte Frage untersucht. Eine technisch präzise Materialmessung kann für eine Materialeigenschaft sehr aussagekräftig sein und zugleich wenig über Schlaf oder langfristige Gesundheit sagen. Eine klinische Studie kann einen relevanten Nutzen zeigen, aber nur für die untersuchte Personengruppe, Konstruktion und Anwendungsdauer. Die Nähe zur konkreten Frage ist deshalb ebenso wichtig wie das Studiendesign.</w:t>
      </w:r>
    </w:p>
    <w:p>
      <w:pPr>
        <w:widowControl/>
      </w:pPr>
      <w:r>
        <w:t>Anschließend werden Vergleichsbedingung, Stichprobe, Beobachtungsdauer und mögliche Verzerrungen betrachtet. Eine Verblindung ist bei Bettwaren häufig schwierig. Erwartungen, Eingewöhnung und die Reihenfolge der getesteten Varianten können Ergebnisse beeinflussen. Bei Herstellerfinanzierung sind Transparenz und unabhängige Wiederholung besonders hilfreich; Finanzierung allein entscheidet weder für noch gegen die Gültigkeit eines Befunds. Kleine Pilotstudien dienen vor allem dazu, eine Frage genauer zu formulieren und einen größeren Versuch zu planen.</w:t>
      </w:r>
    </w:p>
    <w:p>
      <w:pPr>
        <w:widowControl/>
      </w:pPr>
      <w:r>
        <w:t>Statistische Auffälligkeit ist nicht gleich praktischer Bedeutung. Ein kleiner Unterschied kann rechnerisch erkennbar sein, ohne für die betreffende Person einen spürbaren Nutzen zu haben. Umgekehrt kann eine relevante individuelle Verbesserung in einer kleinen Gruppe statistisch unsicher bleiben. Deshalb werden Effektgröße, Unsicherheit und alltagsrelevante Endpunkte gemeinsam beurteilt. Eine pauschale Punktzahl würde diese Unterschiede verdecken. Die interaktive Begleitseite verwendet folglich keine erfundene Gesundheitsnote und keine simulierten Zahlen, die wie gemessene Materialdaten erscheinen.</w:t>
      </w:r>
    </w:p>
    <w:p>
      <w:pPr>
        <w:pStyle w:val="Heading1"/>
      </w:pPr>
      <w:r>
        <w:t>Vorschlag für eine belastbare Prüfung</w:t>
      </w:r>
    </w:p>
    <w:p>
      <w:pPr>
        <w:widowControl/>
      </w:pPr>
      <w:r>
        <w:t>Ein Studienentwurf trennt Gesamtschlafverlust von stadienbezogener Unterbrechung und misst neutrale sowie emotionale Erinnerungen. Ausgangsleistung, Stimmung und Stress werden erfasst. Langzeitfolgen werden nicht aus einem einmaligen Test am Folgemorgen behauptet. Medikamentenfragen bleiben fachlich betreute Untersuchungen.</w:t>
      </w:r>
    </w:p>
    <w:p>
      <w:pPr>
        <w:pStyle w:val="Heading1"/>
      </w:pPr>
      <w:r>
        <w:t>Konsequenzen für STOLL und die Beratung</w:t>
      </w:r>
    </w:p>
    <w:p>
      <w:pPr>
        <w:widowControl/>
      </w:pPr>
      <w:r>
        <w:t>Die Beratung sollte eine störungsarme ausreichende Schlafgelegenheit unterstützen, ohne REM zu maximieren. Medikamente werden wegen eines Wearable REM Werts nicht eigenständig verändert. Ein Bettprodukt benötigt eigene Daten für behauptete Gedächtniseffekte.</w:t>
      </w:r>
    </w:p>
    <w:p>
      <w:pPr>
        <w:widowControl/>
      </w:pPr>
      <w:r>
        <w:t>Für die Umsetzung wird zuerst ein konkretes Ziel festgelegt und anschließend die kleinste sinnvoll prüfbare Änderung ausgewählt. Ausgangszustand, verwendeter Aufbau und Beobachtungszeitraum werden dokumentiert. Die Rückmeldung sollte sowohl den gewünschten Nutzen als auch mögliche neue Nachteile erfassen. Werden mehrere Komponenten gleichzeitig verändert, bleibt die Zuordnung eines Erfolgs unsicher. Ein individueller Vergleich kann die persönliche Auswahl verbessern, ersetzt aber keine allgemeine Wirksamkeitsstudie.</w:t>
      </w:r>
    </w:p>
    <w:p>
      <w:pPr>
        <w:widowControl/>
      </w:pPr>
      <w:r>
        <w:t>Ein Lieferantennachweis sollte das tatsächlich angebotene Modell und die vorgesehene Nutzung betreffen. Abweichungen bei Bezug, Topper, Unterfederung, Pflege oder Software können die Übertragbarkeit verändern. Die Beratung benennt solche Grenzen offen und formuliert nur diejenige Leistung, die durch Daten oder unmittelbare Beobachtung gedeckt ist. Bei medizinischen oder rechtlichen Fragestellungen bleibt die zuständige fachliche Beurteilung erforderlich. Die praktische Empfehlung dieses Dokuments ist eine Entscheidungsgrundlage und keine individuelle Diagnose.</w:t>
      </w:r>
    </w:p>
    <w:p>
      <w:pPr>
        <w:pStyle w:val="Heading1"/>
      </w:pPr>
      <w:r>
        <w:t>Fazit</w:t>
      </w:r>
    </w:p>
    <w:p>
      <w:pPr>
        <w:widowControl/>
      </w:pPr>
      <w:r>
        <w:t>REM beteiligt sich an Gedächtnisprozessen ist aber kein alleiniger Gedächtnisspeicher. Die Recherche verbindet emotionales und deklaratives Gedächtnis mit aktuellen mechanistischen Ansätzen.</w:t>
      </w:r>
    </w:p>
    <w:p>
      <w:pPr>
        <w:pStyle w:val="Heading1"/>
      </w:pPr>
      <w:r>
        <w:t>Quellen und Grenzen der Übertragbarkeit</w:t>
      </w:r>
    </w:p>
    <w:p>
      <w:pPr>
        <w:keepNext/>
        <w:keepLines/>
      </w:pPr>
      <w:r>
        <w:t xml:space="preserve">[1] </w:t>
      </w:r>
      <w:hyperlink r:id="rId11">
        <w:r>
          <w:rPr>
            <w:color w:val="155D76"/>
          </w:rPr>
          <w:t>Nishida et al REM sleep prefrontal theta and emotional memory</w:t>
        </w:r>
      </w:hyperlink>
      <w:r>
        <w:br/>
        <w:t>Experiment mit Tagschlaf und emotionalem Gedächtnis; einzelne REM Zusammenhänge sind korrelativ. Zugriff 30 September 2026.</w:t>
      </w:r>
    </w:p>
    <w:p>
      <w:pPr>
        <w:keepNext/>
        <w:keepLines/>
      </w:pPr>
      <w:r>
        <w:t xml:space="preserve">[2] </w:t>
      </w:r>
      <w:hyperlink r:id="rId12">
        <w:r>
          <w:rPr>
            <w:color w:val="155D76"/>
          </w:rPr>
          <w:t>Boyce et al 2016 Causal evidence for REM theta and contextual memory consolidation</w:t>
        </w:r>
      </w:hyperlink>
      <w:r>
        <w:br/>
        <w:t>Optogenetisches Mausexperiment; Übertragung auf menschliches Gedächtnis und Langzeitmedikation begrenzt. Zugriff 30 September 2026.</w:t>
      </w:r>
    </w:p>
    <w:p>
      <w:pPr>
        <w:keepNext/>
        <w:keepLines/>
      </w:pPr>
      <w:r>
        <w:t xml:space="preserve">[3] </w:t>
      </w:r>
      <w:hyperlink r:id="rId13">
        <w:r>
          <w:rPr>
            <w:color w:val="155D76"/>
          </w:rPr>
          <w:t>The fine structure of slow wave sleep oscillations</w:t>
        </w:r>
      </w:hyperlink>
      <w:r>
        <w:br/>
        <w:t>Untersuchung der Kopplung langsamer Oszillationen und Spindeln; keine vollständige Scoringnorm. Zugriff 30 September 2026.</w:t>
      </w:r>
    </w:p>
    <w:p>
      <w:r>
        <w:rPr>
          <w:i/>
        </w:rPr>
        <w:t>Begleitseite: 87.html im Ordner Seiten des Gesamtpakets.</w:t>
      </w:r>
    </w:p>
    <w:sectPr w:rsidR="00FC693F" w:rsidRPr="0006063C" w:rsidSect="00034616">
      <w:headerReference w:type="default" r:id="rId9"/>
      <w:footerReference w:type="default" r:id="rId10"/>
      <w:pgSz w:w="11906" w:h="16838"/>
      <w:pgMar w:top="1134" w:right="1247" w:bottom="107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Recherche 30 September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STOLL  |  SCHLAFFORSCHUNG  |  THEMA 87</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1" w:lineRule="auto" w:after="120"/>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60" w:after="12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ubmed.ncbi.nlm.nih.gov/18832332/" TargetMode="External"/><Relationship Id="rId12" Type="http://schemas.openxmlformats.org/officeDocument/2006/relationships/hyperlink" Target="https://pubmed.ncbi.nlm.nih.gov/27174984/" TargetMode="External"/><Relationship Id="rId13" Type="http://schemas.openxmlformats.org/officeDocument/2006/relationships/hyperlink" Target="https://pubmed.ncbi.nlm.nih.gov/1248618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