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EEG Merkmale und Übergänge der Schlafstadien</w:t>
      </w:r>
    </w:p>
    <w:p>
      <w:pPr>
        <w:spacing w:after="240"/>
      </w:pPr>
      <w:r>
        <w:t>Thema 86  |  Körper und Schlaf</w:t>
      </w:r>
    </w:p>
    <w:p>
      <w:r>
        <w:rPr>
          <w:b/>
        </w:rPr>
        <w:t>Schlafstadien sind multimodale Muster und keine bloßen Frequenzetiketten</w:t>
      </w:r>
    </w:p>
    <w:p>
      <w:pPr>
        <w:widowControl/>
      </w:pPr>
      <w:r>
        <w:t>NREM 1, NREM 2, NREM 3 und REM unterscheiden sich durch elektrische Hirnaktivität, Augenbewegungen und Muskeltonus. Die Analyse erklärt typische EEG Merkmale, Übergänge und funktionelle Bedeutung. Die Begleitgrafik zeigt synthetische Beispiele, keine diagnostisch auswertbaren EEG Aufzeichnungen.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NREM Stadien im EEG</w:t>
      </w:r>
    </w:p>
    <w:p>
      <w:pPr>
        <w:widowControl/>
      </w:pPr>
      <w:r>
        <w:t>Beim Übergang in N1 nimmt die für entspanntes Wachsein typische Alphaaktivität häufig ab; niedrigamplitudige gemischte Aktivität mit Thetaanteilen tritt auf. N2 wird unter anderem durch Schlafspindeln und K Komplexe charakterisiert. Spindeln liegen typischerweise ungefähr im Bereich 11 bis 16 Hz. N3 enthält ausgeprägte langsame Aktivität; das klinische Scoring verwendet definierte Kriterien für Amplitude, Frequenz und Anteil einer Epoche. Ein hoher Deltaanteil in einem beliebigen Signal ist daher noch keine vollständige N3 Bestimmung. Ableitung, Filter und Artefakte beeinflussen die sichtbare Form.</w:t>
      </w:r>
    </w:p>
    <w:p>
      <w:pPr>
        <w:pStyle w:val="Heading1"/>
      </w:pPr>
      <w:r>
        <w:t>2 REM und funktionelle Kopplung</w:t>
      </w:r>
    </w:p>
    <w:p>
      <w:pPr>
        <w:widowControl/>
      </w:pPr>
      <w:r>
        <w:t>REM kann im EEG relativ niedrigamplitudig und gemischtfrequent erscheinen und ähnelt damit in Teilen dem Wachzustand. Rasche Augenbewegungen und stark reduzierter tonischer Muskeltonus helfen bei der Einordnung. Lokale Zuckungen schließen REM nicht aus. Untersuchungen langsamer Oszillationen, Spindeln und Thetaereignisse zeigen präzise zeitliche Beziehungen zwischen neuronalen Prozessen. [1, 2] Diese Kopplung ist funktionell interessanter als die Idee, jedes Frequenzband hätte eine einzige exklusive Aufgabe. Gedächtnisverarbeitung und sensorische Abschirmung betreffen mehrere Stadien und Netzwerke.</w:t>
      </w:r>
    </w:p>
    <w:p>
      <w:pPr>
        <w:pStyle w:val="Heading1"/>
      </w:pPr>
      <w:r>
        <w:t>3 Übergänge und klinische Relevanz</w:t>
      </w:r>
    </w:p>
    <w:p>
      <w:pPr>
        <w:widowControl/>
      </w:pPr>
      <w:r>
        <w:t>Ein Hypnogramm fasst klassifizierte Epochen zusammen und glättet damit kurzfristige Übergänge. NREM und REM wiederholen sich über die Nacht, jedoch nicht als starres Uhrwerk mit immer gleichen Zykluslängen. Alter, vorausgehender Schlafdruck, Medikamente und Erkrankungen verändern die Verteilung. Kurze Wachphasen sind nicht automatisch krankhaft. Für klinische Fragen sind Fragmentierung, Atemereignisse, Bewegungen und Tagesbeschwerden oft ebenso wichtig wie Prozentanteile. Eine Uhr ohne EEG kann diese Kriterien nur indirekt schätzen und darf nicht allein eine Schlafstadienstörung diagnostizieren.</w:t>
      </w:r>
    </w:p>
    <w:p>
      <w:pPr>
        <w:pStyle w:val="Heading1"/>
      </w:pPr>
      <w:r>
        <w:t>4 Spektralanalyse und Epochenklassifikation</w:t>
      </w:r>
    </w:p>
    <w:p>
      <w:pPr>
        <w:widowControl/>
      </w:pPr>
      <w:r>
        <w:t>Ein Frequenzspektrum beschreibt, wie Signalenergie über Frequenzen verteilt ist. Es verliert ohne zusätzliche Verfahren einen Teil der zeitlichen Information. Ein kurzer K Komplex oder eine Spindel kann deshalb in einer gemittelten Leistungskurve weniger deutlich erscheinen als im Rohsignal. Umgekehrt erzeugen Muskelartefakte hohe Frequenzanteile, die nicht als kortikale Aktivierung interpretiert werden dürfen. Für die Lehre sind Rohsignal, Spektrum und Stadienlabel drei ergänzende Ansichten. Die synthetische Begleitgrafik vereinfacht diese Beziehung bewusst. Sie enthält weder kalibrierte Mikrovoltwerte noch alle für klinisches Scoring erforderlichen Kanäle.</w:t>
      </w:r>
    </w:p>
    <w:p>
      <w:pPr>
        <w:pStyle w:val="Heading1"/>
      </w:pPr>
      <w:r>
        <w:t>5 Zeitliche Auflösung und biologische Vergleichbarkeit</w:t>
      </w:r>
    </w:p>
    <w:p>
      <w:pPr>
        <w:widowControl/>
      </w:pPr>
      <w:r>
        <w:t>Schlaf ist kein einheitlicher achtstündiger Zustand. Eine Messung hängt davon ab, in welchem Schlafstadium sie erfolgt, wie lange eine Person zuvor wach war und an welcher Stelle ihrer inneren Nacht sie sich befindet. Gleiche Uhrzeit bedeutet bei unterschiedlichen Chronotypen nicht zwingend gleiche biologische Phase. Für eine physiologische Studie werden deshalb Schlafzeitplan, vorausgehende Schlafdauer, Licht, Mahlzeiten und relevante Medikamente erfasst.</w:t>
      </w:r>
    </w:p>
    <w:p>
      <w:pPr>
        <w:widowControl/>
      </w:pPr>
      <w:r>
        <w:t>Ein einzelner Morgenwert kann einen Verlauf nicht ersetzen. Umgekehrt können häufige Blutabnahmen den Schlaf selbst stören. Kontinuierliche Signale benötigen eine Qualitätsprüfung, eine definierte zeitliche Zuordnung und eine Auswertung der fehlenden Abschnitte. Gruppenmittel glätten individuelle Spitzen und Übergänge. Eine schematische Kurve auf der Begleitseite zeigt deshalb eine zeitliche Beziehung; sie ist keine Referenzkurve, an der eine Person ihre Gesundheit ablesen kann. Die passende Messmethode richtet sich nach der Frage, nicht nach der Zahl verfügbarer Sensoren.</w:t>
      </w:r>
    </w:p>
    <w:p>
      <w:pPr>
        <w:pStyle w:val="Heading1"/>
      </w:pPr>
      <w:r>
        <w:t>6 Kausale Ketten zwischen Schlaf und Bettprodukt</w:t>
      </w:r>
    </w:p>
    <w:p>
      <w:pPr>
        <w:widowControl/>
      </w:pPr>
      <w:r>
        <w:t>Eine plausible Wirkungskette kann lauten: Eine Umgebung verändert Komfort oder Störungen, dadurch verändert sich Schlaf, und veränderter Schlaf beeinflusst eine physiologische Funktion. Jede Verbindung benötigt eigene Evidenz. Ein Experiment zu Schlafentzug belegt nicht automatisch, dass ein hochwertiges Material dieselbe Funktion verbessert. Ebenso erklärt ein molekularer Mechanismus noch nicht, wie groß ein praktisch erreichbarer Nutzen im Alltag wäre.</w:t>
      </w:r>
    </w:p>
    <w:p>
      <w:pPr>
        <w:widowControl/>
      </w:pPr>
      <w:r>
        <w:t>Die Prüfung beginnt daher mit einem klar definierten Endpunkt und einer passenden Vergleichsbedingung. Bei einer Produktintervention sollten Temperatur, Liegegefühl, Erwartungen und Geräusche möglichst getrennt erfasst werden. Sonst bleibt unklar, welcher Bestandteil die Veränderung erklärt. Ein Biomarker kann aufschlussreich sein, ohne ein validierter Ersatz für Erholung, Lebensqualität oder Erkrankungsrisiko zu sein. Für STOLL ist die wissenschaftlich saubere Aussage häufig enger als die ursprüngliche Hypothese: Eine störungsarme Umgebung kann guten Schlaf unterstützen; ein bestimmter Hormonwert oder eine Krankheitsprävention lässt sich daraus nicht zusichern.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N1</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Übergang mit häufigen Thetaanteilen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 einzelnes Frequenzband genügt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N2 und N3</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Spindeln K Komplexe beziehungsweise langsame Aktivität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Scoring benötigt definierte Signale und Kriterien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REM</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Gemischtes EEG Augenbewegungen und Atonie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Wachähnliches EEG allein ist nicht diagnostisch</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EEG Leistung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Frequenzbezogene Analyse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Bandgrenzen hängen von Definition ab</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Stadienanteil</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PSG Scoring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Ein Prozentwert beschreibt keine gesamte Erholung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Übergänge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Hypnogramm und Ereignisse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Epochenbildung glättet kurze Dynamik</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Lehrversuch verwendet getrennte EEG EOG und EMG Kanäle und kennzeichnet synthetische Signale ausdrücklich. Für Forschung werden Aufzeichnungen von geschulten Auswertenden mit dokumentiertem Regelwerk beurteilt. Interraterübereinstimmung und Artefaktanteil werden berichtet. Automatische Verfahren werden an unabhängigen Personen validiert.</w:t>
      </w:r>
    </w:p>
    <w:p>
      <w:pPr>
        <w:pStyle w:val="Heading1"/>
      </w:pPr>
      <w:r>
        <w:t>Konsequenzen für STOLL und die Beratung</w:t>
      </w:r>
    </w:p>
    <w:p>
      <w:pPr>
        <w:widowControl/>
      </w:pPr>
      <w:r>
        <w:t>STOLL kann Schlafstadien verständlich erklären, sollte aber keine ideale Prozentverteilung für alle Kunden vorgeben. Die Produktberatung bewertet Störungen und Komfort; eine klinische Stadienanalyse gehört in geeignete Diagnostik.</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Schlafstadien sind multimodale Muster und keine bloßen Frequenzetiketten. NREM 1, NREM 2, NREM 3 und REM unterscheiden sich durch elektrische Hirnaktivität, Augenbewegungen und Muskeltonus.</w:t>
      </w:r>
    </w:p>
    <w:p>
      <w:pPr>
        <w:pStyle w:val="Heading1"/>
      </w:pPr>
      <w:r>
        <w:t>Quellen und Grenzen der Übertragbarkeit</w:t>
      </w:r>
    </w:p>
    <w:p>
      <w:pPr>
        <w:keepNext/>
        <w:keepLines/>
      </w:pPr>
      <w:r>
        <w:t xml:space="preserve">[1] </w:t>
      </w:r>
      <w:hyperlink r:id="rId11">
        <w:r>
          <w:rPr>
            <w:color w:val="155D76"/>
          </w:rPr>
          <w:t>The fine structure of slow wave sleep oscillations</w:t>
        </w:r>
      </w:hyperlink>
      <w:r>
        <w:br/>
        <w:t>Untersuchung der Kopplung langsamer Oszillationen und Spindeln; keine vollständige Scoringnorm. Zugriff 30 September 2026.</w:t>
      </w:r>
    </w:p>
    <w:p>
      <w:pPr>
        <w:keepNext/>
        <w:keepLines/>
      </w:pPr>
      <w:r>
        <w:t xml:space="preserve">[2] </w:t>
      </w:r>
      <w:hyperlink r:id="rId12">
        <w:r>
          <w:rPr>
            <w:color w:val="155D76"/>
          </w:rPr>
          <w:t>Theta bursts precede and spindles follow cortical and thalamic downstates</w:t>
        </w:r>
      </w:hyperlink>
      <w:r>
        <w:br/>
        <w:t>Primärstudie; Population und Messverfahren begrenzen die Übertragung auf konkrete Bettprodukte. Zugriff 30 September 2026.</w:t>
      </w:r>
    </w:p>
    <w:p>
      <w:pPr>
        <w:keepNext/>
        <w:keepLines/>
      </w:pPr>
      <w:r>
        <w:t xml:space="preserve">[3] </w:t>
      </w:r>
      <w:hyperlink r:id="rId13">
        <w:r>
          <w:rPr>
            <w:color w:val="155D76"/>
          </w:rPr>
          <w:t>Chinoy et al Performance of seven consumer sleep tracking devices compared with PSG</w:t>
        </w:r>
      </w:hyperlink>
      <w:r>
        <w:br/>
        <w:t>34 gesunde junge Erwachsene und bestimmte Geräteversionen; Ergebnisse gelten nicht pauschal für aktuelle Modelle. Zugriff 30 September 2026.</w:t>
      </w:r>
    </w:p>
    <w:p>
      <w:r>
        <w:rPr>
          <w:i/>
        </w:rPr>
        <w:t>Begleitseite: 86.html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86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12486189/" TargetMode="External"/><Relationship Id="rId12" Type="http://schemas.openxmlformats.org/officeDocument/2006/relationships/hyperlink" Target="https://pubmed.ncbi.nlm.nih.gov/30242045/" TargetMode="External"/><Relationship Id="rId13" Type="http://schemas.openxmlformats.org/officeDocument/2006/relationships/hyperlink" Target="https://pubmed.ncbi.nlm.nih.gov/333785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