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Haptik Geruch und Kaufentscheidung im Showroom</w:t>
      </w:r>
    </w:p>
    <w:p>
      <w:pPr>
        <w:spacing w:after="240"/>
      </w:pPr>
      <w:r>
        <w:t>Thema 78  |  Wahrnehmung und Umgebung</w:t>
      </w:r>
    </w:p>
    <w:p>
      <w:r>
        <w:rPr>
          <w:b/>
        </w:rPr>
        <w:t>Haptik und Geruch beeinflussen Urteile ein Parasympathikuseffekt ist damit nicht bewiesen</w:t>
      </w:r>
    </w:p>
    <w:p>
      <w:pPr>
        <w:widowControl/>
      </w:pPr>
      <w:r>
        <w:t>Diese Analyse betrachtet den Showroom als multisensorische Umgebung. Angenehme Berührung und Geruch können das Produkterlebnis beeinflussen. Die Wirkung auf Kaufentscheidung, Vertrauen und tatsächlichen späteren Schlaf sind jedoch unterschiedliche Fragen.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Haptische Information und individuelle Unterschiede</w:t>
      </w:r>
    </w:p>
    <w:p>
      <w:pPr>
        <w:widowControl/>
      </w:pPr>
      <w:r>
        <w:t>Berührung liefert Informationen über Oberflächenstruktur, Härte, Temperatur und Gewicht. Peck und Childers entwickelten ein Instrument zur Erfassung individueller Unterschiede im Bedürfnis nach haptischer Information. [1] Manche Personen gewinnen besonders stark durch direkten Kontakt Sicherheit im Urteil. Das rechtfertigt ein gut zugängliches Probeliegen und Materialproben. Es bedeutet nicht, dass jeder weiche Stoff bei jeder Person eine identische autonome Entspannungsreaktion auslöst. Handkontakt und Liegen unter Körperlast prüfen zudem verschiedene Eigenschaften.</w:t>
      </w:r>
    </w:p>
    <w:p>
      <w:pPr>
        <w:pStyle w:val="Heading1"/>
      </w:pPr>
      <w:r>
        <w:t>2 Geruch verändert die Umgebung des Urteils</w:t>
      </w:r>
    </w:p>
    <w:p>
      <w:pPr>
        <w:widowControl/>
      </w:pPr>
      <w:r>
        <w:t>Spangenberg und Kollegen untersuchten Umgebungsduft in einer simulierten Verkaufssituation. [2] Solche Experimente zeigen, dass Geruch als Teil des Umfelds Bewertungen beeinflussen kann. Sie belegen nicht automatisch einen besseren Schlaf mit einem duftenden Material. Duft kann außerdem mit Sauberkeit, Herkunft oder persönlichen Erinnerungen verknüpft sein. Eine starke Beduftung kann empfindliche Menschen stören oder einen Eigengeruch des Produkts überdecken. Für eine transparente Beratung ist eine geruchsarme Vergleichsmöglichkeit deshalb sinnvoll.</w:t>
      </w:r>
    </w:p>
    <w:p>
      <w:pPr>
        <w:pStyle w:val="Heading1"/>
      </w:pPr>
      <w:r>
        <w:t>3 Softness und autonome Messungen</w:t>
      </w:r>
    </w:p>
    <w:p>
      <w:pPr>
        <w:widowControl/>
      </w:pPr>
      <w:r>
        <w:t>Ein angenehmes Gefühl kann mit Entspannung einhergehen, aber ein daraus abgeleitetes Parasympathikusversprechen benötigt Messungen. Herzfrequenz oder HRV werden durch Atmung, Haltung und Aufmerksamkeit beeinflusst. Ein ruhigeres Sitzen während des Materialkontakts kann bereits Werte verändern. Für eine kausale Prüfung müssten Kontakt, Erwartung, Gespräch und Atemmuster kontrolliert werden. Ein positiver Kaufimpuls ist nicht mit einer neurologisch nachgewiesenen Beruhigung gleichzusetzen. Die praktische Stärke des Showrooms liegt darin, Unterschiede verständlich und körperlich erfahrbar zu machen.</w:t>
      </w:r>
    </w:p>
    <w:p>
      <w:pPr>
        <w:pStyle w:val="Heading1"/>
      </w:pPr>
      <w:r>
        <w:t>4 Kaufabsicht und tatsächliche Entscheidung</w:t>
      </w:r>
    </w:p>
    <w:p>
      <w:pPr>
        <w:widowControl/>
      </w:pPr>
      <w:r>
        <w:t>Eine Versuchsperson kann im angenehm duftenden Raum eine höhere Kaufabsicht angeben, ohne später zu kaufen oder mit dem Produkt zufriedener zu sein. Der Zeitpunkt des Endpunkts ist daher entscheidend. Ein Showroomprojekt kann unmittelbares Gefallen, Verständnis der Unterschiede, tatsächliche Entscheidung und spätere Zufriedenheit getrennt erfassen. Rückgaben oder Nachjustierungen sind dabei informative Ergebnisse. Eine Gestaltung, die spontane Begeisterung erhöht, aber die realistische Beurteilung erschwert, wäre für langfristigen Service möglicherweise ungünstig. Der sinnvolle Maßstab ist deshalb eine tragfähige informierte Auswahl, nicht ausschließlich ein kurzfristiger Impuls.</w:t>
      </w:r>
    </w:p>
    <w:p>
      <w:pPr>
        <w:pStyle w:val="Heading1"/>
      </w:pPr>
      <w:r>
        <w:t>5 Erwartung Erfahrung und tatsächlicher Gebrauch</w:t>
      </w:r>
    </w:p>
    <w:p>
      <w:pPr>
        <w:widowControl/>
      </w:pPr>
      <w:r>
        <w:t>Eine Umgebung wird über mehrere Sinne gleichzeitig wahrgenommen. Licht, Haptik, Geruch, Temperatur und Sprache können die Bewertung eines Produkts verändern. Deshalb ist ein Eindruck im Showroom nicht unabhängig von der Inszenierung. Die wahrgenommene Wertigkeit ist ein legitimer Teil des Erlebnisses, aber eine andere Zielgröße als die nächtliche Schlafkontinuität. Beide sollten mit passenden Fragen und Zeitpunkten erfasst werden.</w:t>
      </w:r>
    </w:p>
    <w:p>
      <w:pPr>
        <w:widowControl/>
      </w:pPr>
      <w:r>
        <w:t>Ein Vergleich kann die Produktkennzeichnung zunächst verdecken und später offenlegen. So lässt sich zumindest näherungsweise untersuchen, wie sich unmittelbare Wahrnehmung und bekannte Herkunft unterscheiden. Vollständige Verblindung ist bei deutlich verschiedenen Materialien oft unmöglich. Der Bericht benennt diese Grenze, statt subjektive Antworten als minderwertig abzutun. Entscheidend ist, ob die angebotene Eigenschaft dem tatsächlichen Bedürfnis entspricht und ob der Eindruck nach mehreren Nächten noch trägt.</w:t>
      </w:r>
    </w:p>
    <w:p>
      <w:pPr>
        <w:pStyle w:val="Heading1"/>
      </w:pPr>
      <w:r>
        <w:t>6 Gestaltung als überprüfbarer Service</w:t>
      </w:r>
    </w:p>
    <w:p>
      <w:pPr>
        <w:widowControl/>
      </w:pPr>
      <w:r>
        <w:t>Ein eigener Test verändert möglichst nur eine gestalterische Dimension. Reihenfolge, Aufenthaltsdauer und Gesprächsführung werden vereinheitlicht. Neben Gefallen und Kaufabsicht werden Verständnis, Sicherheit der Entscheidung und mögliche Irritationen erfasst. Für Aussagen über den Schlaf braucht es einen anschließenden Versuch in der realen Schlafumgebung. Ein Laborbild oder ein kurzer Ladenbesuch kann diesen Schritt nicht ersetzen.</w:t>
      </w:r>
    </w:p>
    <w:p>
      <w:pPr>
        <w:widowControl/>
      </w:pPr>
      <w:r>
        <w:t>Individuelle Präferenzen und kulturelle Erfahrungen können gegenläufige Ergebnisse erzeugen. Eine Empfehlung sollte deshalb Wahlmöglichkeiten erhalten. Ein reizarmes Angebot kann beispielsweise Personen helfen, die eine starke sensorische Belastung vermeiden möchten; andere schätzen mehr Struktur oder persönliche Gegenstände. Die Entwicklung einer Premiumleistung orientiert sich an nachvollziehbaren Eigenschaften, transparenten Nachweisen und einer verständlichen Rückmeldeschleife. Sie benötigt keine unbelegte neurophysiologische Erklärung für jede angenehme Wahrnehmung.</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Materialkontakt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Erleichtert unmittelbare Beurteilung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Individuelles Bedürfnis nach Berührung variiert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Dezenter Duft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Atmosphäre prägen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Verträglichkeit und Produktgeruch beachten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Neutrale Vergleichszone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Erleichtert bewusste Auswahl</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Auch neutrale Gestaltung erzeugt Erwartungen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Urteilssicherheit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Vor und nach Materialkontakt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mit objektiver Produktqualität gleichsetzen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Duftakzeptanz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Individuelle Bewertung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Gefallen und Verträglichkeit unterscheiden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HRV</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Standardisierte Atem und Messbedingungen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eindeutiger Entspannungsbeweis</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Showroomversuch variiert jeweils nur Haptikzugang oder Duft. Kaufabsicht, Verständnis und Sicherheit des Urteils werden getrennt erhoben. Eine spätere Rückmeldung nach tatsächlicher Nutzung prüft, ob der erste Eindruck Bestand hatte. Autonome Messungen wären eine separate physiologische Studie.</w:t>
      </w:r>
    </w:p>
    <w:p>
      <w:pPr>
        <w:pStyle w:val="Heading1"/>
      </w:pPr>
      <w:r>
        <w:t>Konsequenzen für STOLL und die Beratung</w:t>
      </w:r>
    </w:p>
    <w:p>
      <w:pPr>
        <w:widowControl/>
      </w:pPr>
      <w:r>
        <w:t>STOLL kann hochwertige Materialien gut zugänglich machen und die Wirkung der Inszenierung offen halten. Ein geruchsarmer Bereich und vergleichbare Probeliegebedingungen stärken die Qualität der Entscheidung. Unbelegte Aussagen über die direkte Aktivierung des Parasympathikus sind dafür nicht nötig.</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Haptik und Geruch beeinflussen Urteile ein Parasympathikuseffekt ist damit nicht bewiesen. Diese Analyse betrachtet den Showroom als multisensorische Umgebung.</w:t>
      </w:r>
    </w:p>
    <w:p>
      <w:pPr>
        <w:pStyle w:val="Heading1"/>
      </w:pPr>
      <w:r>
        <w:t>Quellen und Grenzen der Übertragbarkeit</w:t>
      </w:r>
    </w:p>
    <w:p>
      <w:pPr>
        <w:keepNext/>
        <w:keepLines/>
      </w:pPr>
      <w:r>
        <w:t xml:space="preserve">[1] </w:t>
      </w:r>
      <w:hyperlink r:id="rId11">
        <w:r>
          <w:rPr>
            <w:color w:val="155D76"/>
          </w:rPr>
          <w:t>Peck und Childers 2003 Need for Touch scale</w:t>
        </w:r>
      </w:hyperlink>
      <w:r>
        <w:br/>
        <w:t>Originalforschung zu individuellen Unterschieden in haptischer Informationsverarbeitung. Zugriff 30 September 2026.</w:t>
      </w:r>
    </w:p>
    <w:p>
      <w:pPr>
        <w:keepNext/>
        <w:keepLines/>
      </w:pPr>
      <w:r>
        <w:t xml:space="preserve">[2] </w:t>
      </w:r>
      <w:hyperlink r:id="rId12">
        <w:r>
          <w:rPr>
            <w:color w:val="155D76"/>
          </w:rPr>
          <w:t>Spangenberg et al 1996 Improving the store environment</w:t>
        </w:r>
      </w:hyperlink>
      <w:r>
        <w:br/>
        <w:t>Experiment in simulierter Verkaufsumgebung; keine Messung des späteren Schlafs. Zugriff 30 September 2026.</w:t>
      </w:r>
    </w:p>
    <w:p>
      <w:r>
        <w:rPr>
          <w:i/>
        </w:rPr>
        <w:t>Begleitseite: 78.html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78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cademic.oup.com/jcr/article-abstract/30/3/430/1790623" TargetMode="External"/><Relationship Id="rId12" Type="http://schemas.openxmlformats.org/officeDocument/2006/relationships/hyperlink" Target="https://journals.sagepub.com/doi/10.1177/0022242996060002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