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Schulterabsenkung in der Seitenlage</w:t>
      </w:r>
    </w:p>
    <w:p>
      <w:pPr>
        <w:spacing w:after="240"/>
      </w:pPr>
      <w:r>
        <w:t>Thema 73  |  Körper und Schlaf</w:t>
      </w:r>
    </w:p>
    <w:p>
      <w:r>
        <w:rPr>
          <w:b/>
        </w:rPr>
        <w:t>Die Schulter braucht passende Nachgiebigkeit und zugleich kontrollierte Beckenstütze</w:t>
      </w:r>
    </w:p>
    <w:p>
      <w:pPr>
        <w:widowControl/>
      </w:pPr>
      <w:r>
        <w:t>Breite Schultern können in Seitenlage eine andere lokale Nachgiebigkeit erfordern als ein schmaler Schultergürtel. Die Analyse betrachtet Schulterabsenkung, Kissenhöhe und das Einschlafen der Arme. Eine weiche Zone kann helfen, garantiert aber keine Vermeidung von Parästhesien.</w:t>
      </w:r>
    </w:p>
    <w:p>
      <w:pPr>
        <w:pStyle w:val="Heading1"/>
      </w:pPr>
      <w:r>
        <w:t>Fragestellung und Recherchegrundlage</w:t>
      </w:r>
    </w:p>
    <w:p>
      <w:pPr>
        <w:widowControl/>
      </w:pPr>
      <w:r>
        <w:t>Diese Ausarbeitung ist eine gezielte narrative Recherche mit Stand 30 September 2026. Ausgangspunkt sind die konkrete Themenfrage, wissenschaftliche Publikationen und bei technischen oder rechtlichen Fragen die zuständigen Originalquellen. Die vom Auftraggeber bereitgestellten Worddateien dienen als Vorbilder für fachliche Gliederung und vergleichende Darstellung. Ihre einzelnen Aussagen wurden nicht ungeprüft übernommen. Die Recherche ist keine systematische Vollerhebung, keine Metaanalyse und keine Zertifizierung eines Produkts.</w:t>
      </w:r>
    </w:p>
    <w:p>
      <w:pPr>
        <w:widowControl/>
      </w:pPr>
      <w:r>
        <w:t>Die Quellen wurden über zugängliche Publikationsseiten, bibliografische Datensätze und verfügbare Auszüge geprüft. Nicht für jede Quelle war ein vollständiger Artikel zugänglich. Wo nur Zusammenfassung oder Auszug vorlag, beschränkt sich die Beschreibung auf die dort erkennbaren Angaben. Zahlen werden nur mit ihrem Studienkontext genannt; fehlende Detailangaben werden nicht ergänzt. Eine Formulierung wie „kein belastbarer Nachweis identifiziert“ beschreibt das Ergebnis dieser gezielten Recherche und beweist nicht, dass weltweit keinerlei Arbeit existiert.</w:t>
      </w:r>
    </w:p>
    <w:p>
      <w:pPr>
        <w:widowControl/>
      </w:pPr>
      <w:r>
        <w:t>Die Quellenziffern im Text verweisen auf das Verzeichnis am Ende. Direkt untersuchte Befunde, mechanistische Überlegungen und eigene praktische Ableitungen sind sprachlich getrennt. Hypothetische Fälle illustrieren die Entscheidungslogik; sie sind keine dokumentierten Kundenerfahrungen. Die vorgeschlagenen Prüfpläne sind eigene Entwürfe. Sie legen weder eine verbindliche Norm noch einen medizinischen Behandlungsablauf fest. Aussagen über eine Produktklasse werden nicht automatisch auf einzelne Modelle übertragen.</w:t>
      </w:r>
    </w:p>
    <w:p>
      <w:pPr>
        <w:pStyle w:val="Heading1"/>
      </w:pPr>
      <w:r>
        <w:t>1 Relative Einsinktiefe bestimmt die Lage</w:t>
      </w:r>
    </w:p>
    <w:p>
      <w:pPr>
        <w:widowControl/>
      </w:pPr>
      <w:r>
        <w:t>Wenn die Schulter kaum einsinkt, kann der Rumpf seitlich ausweichen oder das Kissen muss eine größere Distanz überbrücken. Sinkt die Schulter sehr tief ein, verändern sich wiederum Halslage, Rotation und Bewegungsaufwand. Die Beckenstütze muss dazu passen. Entscheidend ist deshalb nicht die maximale Absenkung, sondern die Lage mehrerer Körperabschnitte zueinander. Armposition und Schulterrotation verändern die effektive Kontur zusätzlich; eine statische Seitenaufnahme ohne dokumentierte Armstellung ist schwer vergleichbar.</w:t>
      </w:r>
    </w:p>
    <w:p>
      <w:pPr>
        <w:pStyle w:val="Heading1"/>
      </w:pPr>
      <w:r>
        <w:t>2 Studienlage und Übertragbarkeit</w:t>
      </w:r>
    </w:p>
    <w:p>
      <w:pPr>
        <w:widowControl/>
      </w:pPr>
      <w:r>
        <w:t>Die Untersuchung seitlicher Wirbelsäulenverläufe bei Männern mit unterschiedlichen Unterlagen zeigt, dass konturbezogene Anpassung relevant sein kann. [1] Studien zur Kissenhöhe demonstrieren außerdem, dass die Kopfunterstützung die Halsgeometrie verändert. [2] Daraus folgt eine gemeinsame Betrachtung von Schulterzone und Kissen. Es folgt keine wissenschaftlich gesicherte universelle Schulterabsenkung in Zentimetern. Die gemessenen Außenkonturen bilden zudem keine direkte Nervenkompression ab.</w:t>
      </w:r>
    </w:p>
    <w:p>
      <w:pPr>
        <w:pStyle w:val="Heading1"/>
      </w:pPr>
      <w:r>
        <w:t>3 Parästhesien differenziert beurteilen</w:t>
      </w:r>
    </w:p>
    <w:p>
      <w:pPr>
        <w:widowControl/>
      </w:pPr>
      <w:r>
        <w:t>Ein tauber Arm kann durch Lage und lokalen Druck begünstigt werden, aber auch andere neurologische oder orthopädische Ursachen besitzen. Eine Druckkarte zeigt einen Kontakt und erklärt nicht automatisch die Symptomursache. Für einen eigenen Vergleich werden Ort, Dauer, Seite und Rückgang nach Umlagerung dokumentiert. Anhaltende Taubheit, Kraftverlust oder wiederkehrende Beschwerden verdienen fachliche Abklärung. Ein Verkaufsversprechen, dass eine Schulterzone das Einschlafen der Arme sicher verhindert, würde über die Daten hinausgehen. Sinnvoll ist eine individuell überprüfbare Entlastung ohne neue Fehlhaltung.</w:t>
      </w:r>
    </w:p>
    <w:p>
      <w:pPr>
        <w:pStyle w:val="Heading1"/>
      </w:pPr>
      <w:r>
        <w:t>4 Kinematik des Lagewechsels</w:t>
      </w:r>
    </w:p>
    <w:p>
      <w:pPr>
        <w:widowControl/>
      </w:pPr>
      <w:r>
        <w:t>Eine Schulterzone muss nicht nur eine Endposition ermöglichen, sondern auch den Weg dorthin. Beim Drehen ändern sich Kontaktfläche und Hebelarm des Rumpfs. Ein sehr tiefes lokales Einsinken kann den Übergang erschweren, obwohl die abschließende Seitenlage günstig aussieht. Für einen kinematischen Versuch werden deshalb Bewegungsdauer, segmentale Rotation und eventuelles Abstützen erfasst. Eine einfache Zeitmessung wird durch subjektiven Aufwand ergänzt. Menschen mit eingeschränkter Kraft oder Schmerzen können andere Prioritäten haben als gesunde Versuchspersonen. Die beste statische Druckkarte ist deshalb nicht automatisch die beste alltagstaugliche Schulterlösung.</w:t>
      </w:r>
    </w:p>
    <w:p>
      <w:pPr>
        <w:pStyle w:val="Heading1"/>
      </w:pPr>
      <w:r>
        <w:t>5 Individuelle Geometrie statt eines einzigen Härtewerts</w:t>
      </w:r>
    </w:p>
    <w:p>
      <w:pPr>
        <w:widowControl/>
      </w:pPr>
      <w:r>
        <w:t>Für die ergonomische Einordnung zählen Körpermasse, Verteilung der Masse, Schulter und Beckenbreite, Beweglichkeit und bevorzugte Lage. Zwei Personen mit gleichem BMI können sehr verschiedene Auflageflächen besitzen. Die Begriffe Ektomorph und Endomorph ersetzen diese Messungen nicht. Auch das Körpergewicht allein sagt nicht, welcher Bereich des Bettes stärker nachgeben sollte. Entscheidend ist die relative Einsinktiefe benachbarter Körpersegmente im vollständigen Aufbau.</w:t>
      </w:r>
    </w:p>
    <w:p>
      <w:pPr>
        <w:widowControl/>
      </w:pPr>
      <w:r>
        <w:t>Eine sinnvolle Erfassung kombiniert eine nachvollziehbare Haltungsmessung mit der Rückmeldung der Person. Optische Marker beschreiben zunächst die äußere Oberfläche. Sie messen weder Bandscheibendruck noch Nervenbelastung direkt. Ein Computermodell kann innere Kräfte abschätzen, bleibt jedoch von Geometrie, Materialannahmen und Randbedingungen abhängig. Eine farbige Druckkarte ist ebenfalls kein Röntgenbild. Sie kann helfen, einen lokalen Kontakt zu erkennen, darf aber nicht als vollständige Diagnose der Wirbelsäule dargestellt werden.</w:t>
      </w:r>
    </w:p>
    <w:p>
      <w:pPr>
        <w:pStyle w:val="Heading1"/>
      </w:pPr>
      <w:r>
        <w:t>6 Bewegungsfreiheit und Prüfung über mehrere Nächte</w:t>
      </w:r>
    </w:p>
    <w:p>
      <w:pPr>
        <w:widowControl/>
      </w:pPr>
      <w:r>
        <w:t>Eine statisch angenehm wirkende Position muss nachts erreichbar und wieder verlassbar sein. Deshalb gehören Umlagern, Aufstützen und der Weg zum Bettrand in die Prüfung. Sehr tiefe Einbettung kann Kontaktspitzen reduzieren und zugleich das Drehen erschweren. Ein stabiler Rand kann Transfers erleichtern und an der Liegefläche dennoch als zu hart empfunden werden. Diese Zielkonflikte werden im konkreten Gebrauch geprüft, statt eine einzelne Messgröße zu maximieren.</w:t>
      </w:r>
    </w:p>
    <w:p>
      <w:pPr>
        <w:widowControl/>
      </w:pPr>
      <w:r>
        <w:t>Ein eigener Crossoverversuch hält Kissen, Bettdecke und Unterfederung konstant, sofern diese nicht die untersuchte Variable sind. Reihenfolge und Eingewöhnung werden berücksichtigt. Morgenbeschwerden, nächtliche Unterbrechungen und Funktionsfähigkeit am Tag werden getrennt dokumentiert. Schmerzbedingte Abbrüche sind ein Ergebnis. Bei neurologischen Symptomen, deutlicher Schwäche oder anhaltenden Beschwerden ersetzt ein Bettenvergleich keine medizinische Untersuchung. Die Rolle der Beratung besteht darin, eine verträgliche mechanische Passung zu finden und die Grenzen eines Verkaufstests zu benennen.</w:t>
      </w:r>
    </w:p>
    <w:p>
      <w:pPr>
        <w:pStyle w:val="Heading1"/>
      </w:pPr>
      <w:r>
        <w:t>Vergleich der relevanten Ansätze</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Ansatz</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Möglicher Beitrag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Grenze der Aussage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Zu geringe Absenkung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Schulter trägt hohe lokale Last</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Hals und Rumpf können ausweichen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Passende Absenkung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Kontur kann gleichmäßiger aufgenommen werden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Kissen muss dazu passen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Sehr tiefe Zone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Mehr Einbettung möglich</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Drehen und segmentale Lage können ungünstiger werden</w:t>
            </w:r>
          </w:p>
        </w:tc>
      </w:tr>
    </w:tbl>
    <w:p>
      <w:pPr>
        <w:spacing w:after="20"/>
      </w:pPr>
    </w:p>
    <w:p>
      <w:pPr>
        <w:pStyle w:val="Heading1"/>
      </w:pPr>
      <w:r>
        <w:t>Messgrößen und ihre Interpretation</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Messgröße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Prüfung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Wichtige Grenze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Schulterweg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Belastete Einsinktiefe</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Nur relativ zu Taille und Becken interpretieren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Halslage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Kopf Rumpf Winkel</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Kissenkompression mitmessen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Parästhesien</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Symptomtagebuch</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Keine direkte Diagnose aus Druckbild</w:t>
            </w:r>
          </w:p>
        </w:tc>
      </w:tr>
    </w:tbl>
    <w:p>
      <w:pPr>
        <w:spacing w:after="20"/>
      </w:pPr>
    </w:p>
    <w:p>
      <w:pPr>
        <w:pStyle w:val="Heading1"/>
      </w:pPr>
      <w:r>
        <w:t>Einordnung der Beweiskraft</w:t>
      </w:r>
    </w:p>
    <w:p>
      <w:pPr>
        <w:widowControl/>
      </w:pPr>
      <w:r>
        <w:t>Für die Einordnung zählt zuerst, ob die Quelle genau die gestellte Frage untersucht. Eine technisch präzise Materialmessung kann für eine Materialeigenschaft sehr aussagekräftig sein und zugleich wenig über Schlaf oder langfristige Gesundheit sagen. Eine klinische Studie kann einen relevanten Nutzen zeigen, aber nur für die untersuchte Personengruppe, Konstruktion und Anwendungsdauer. Die Nähe zur konkreten Frage ist deshalb ebenso wichtig wie das Studiendesign.</w:t>
      </w:r>
    </w:p>
    <w:p>
      <w:pPr>
        <w:widowControl/>
      </w:pPr>
      <w:r>
        <w:t>Anschließend werden Vergleichsbedingung, Stichprobe, Beobachtungsdauer und mögliche Verzerrungen betrachtet. Eine Verblindung ist bei Bettwaren häufig schwierig. Erwartungen, Eingewöhnung und die Reihenfolge der getesteten Varianten können Ergebnisse beeinflussen. Bei Herstellerfinanzierung sind Transparenz und unabhängige Wiederholung besonders hilfreich; Finanzierung allein entscheidet weder für noch gegen die Gültigkeit eines Befunds. Kleine Pilotstudien dienen vor allem dazu, eine Frage genauer zu formulieren und einen größeren Versuch zu planen.</w:t>
      </w:r>
    </w:p>
    <w:p>
      <w:pPr>
        <w:widowControl/>
      </w:pPr>
      <w:r>
        <w:t>Statistische Auffälligkeit ist nicht gleich praktischer Bedeutung. Ein kleiner Unterschied kann rechnerisch erkennbar sein, ohne für die betreffende Person einen spürbaren Nutzen zu haben. Umgekehrt kann eine relevante individuelle Verbesserung in einer kleinen Gruppe statistisch unsicher bleiben. Deshalb werden Effektgröße, Unsicherheit und alltagsrelevante Endpunkte gemeinsam beurteilt. Eine pauschale Punktzahl würde diese Unterschiede verdecken. Die interaktive Begleitseite verwendet folglich keine erfundene Gesundheitsnote und keine simulierten Zahlen, die wie gemessene Materialdaten erscheinen.</w:t>
      </w:r>
    </w:p>
    <w:p>
      <w:pPr>
        <w:pStyle w:val="Heading1"/>
      </w:pPr>
      <w:r>
        <w:t>Vorschlag für eine belastbare Prüfung</w:t>
      </w:r>
    </w:p>
    <w:p>
      <w:pPr>
        <w:widowControl/>
      </w:pPr>
      <w:r>
        <w:t>Eine verstellbare Versuchslage variiert zunächst die Schulterzone bei unverändertem Beckenbereich. Anschließend wird die Kissenhöhe angepasst. Haltung, Druck, Beweglichkeit und Armsymptome werden gemeinsam dokumentiert. Die Reihenfolge wird gewechselt; nach kurzer Laborprüfung folgt ein mehrnächtiger Alltagstest.</w:t>
      </w:r>
    </w:p>
    <w:p>
      <w:pPr>
        <w:pStyle w:val="Heading1"/>
      </w:pPr>
      <w:r>
        <w:t>Konsequenzen für STOLL und die Beratung</w:t>
      </w:r>
    </w:p>
    <w:p>
      <w:pPr>
        <w:widowControl/>
      </w:pPr>
      <w:r>
        <w:t>STOLL sollte Schulterbreite und Seitlage tatsächlich beobachten, nicht nur nach Körpergewicht fragen. Eine veränderbare Zone kann bei schwieriger Passung sinnvoll sein. Medizinische Symptome werden als solche ernst genommen und nicht allein über Matratzenhärte erklärt.</w:t>
      </w:r>
    </w:p>
    <w:p>
      <w:pPr>
        <w:widowControl/>
      </w:pPr>
      <w:r>
        <w:t>Für die Umsetzung wird zuerst ein konkretes Ziel festgelegt und anschließend die kleinste sinnvoll prüfbare Änderung ausgewählt. Ausgangszustand, verwendeter Aufbau und Beobachtungszeitraum werden dokumentiert. Die Rückmeldung sollte sowohl den gewünschten Nutzen als auch mögliche neue Nachteile erfassen. Werden mehrere Komponenten gleichzeitig verändert, bleibt die Zuordnung eines Erfolgs unsicher. Ein individueller Vergleich kann die persönliche Auswahl verbessern, ersetzt aber keine allgemeine Wirksamkeitsstudie.</w:t>
      </w:r>
    </w:p>
    <w:p>
      <w:pPr>
        <w:widowControl/>
      </w:pPr>
      <w:r>
        <w:t>Ein Lieferantennachweis sollte das tatsächlich angebotene Modell und die vorgesehene Nutzung betreffen. Abweichungen bei Bezug, Topper, Unterfederung, Pflege oder Software können die Übertragbarkeit verändern. Die Beratung benennt solche Grenzen offen und formuliert nur diejenige Leistung, die durch Daten oder unmittelbare Beobachtung gedeckt ist. Bei medizinischen oder rechtlichen Fragestellungen bleibt die zuständige fachliche Beurteilung erforderlich. Die praktische Empfehlung dieses Dokuments ist eine Entscheidungsgrundlage und keine individuelle Diagnose.</w:t>
      </w:r>
    </w:p>
    <w:p>
      <w:pPr>
        <w:pStyle w:val="Heading1"/>
      </w:pPr>
      <w:r>
        <w:t>Fazit</w:t>
      </w:r>
    </w:p>
    <w:p>
      <w:pPr>
        <w:widowControl/>
      </w:pPr>
      <w:r>
        <w:t>Die Schulter braucht passende Nachgiebigkeit und zugleich kontrollierte Beckenstütze. Breite Schultern können in Seitenlage eine andere lokale Nachgiebigkeit erfordern als ein schmaler Schultergürtel.</w:t>
      </w:r>
    </w:p>
    <w:p>
      <w:pPr>
        <w:pStyle w:val="Heading1"/>
      </w:pPr>
      <w:r>
        <w:t>Quellen und Grenzen der Übertragbarkeit</w:t>
      </w:r>
    </w:p>
    <w:p>
      <w:pPr>
        <w:keepNext/>
        <w:keepLines/>
      </w:pPr>
      <w:r>
        <w:t xml:space="preserve">[1] </w:t>
      </w:r>
      <w:hyperlink r:id="rId11">
        <w:r>
          <w:rPr>
            <w:color w:val="155D76"/>
          </w:rPr>
          <w:t>Spine alignment in men during lateral sleep position</w:t>
        </w:r>
      </w:hyperlink>
      <w:r>
        <w:br/>
        <w:t>Optische Messung und Modellierung bei 25 Männern; keine universelle Härtegradformel. Zugriff 30 September 2026.</w:t>
      </w:r>
    </w:p>
    <w:p>
      <w:pPr>
        <w:keepNext/>
        <w:keepLines/>
      </w:pPr>
      <w:r>
        <w:t xml:space="preserve">[2] </w:t>
      </w:r>
      <w:hyperlink r:id="rId12">
        <w:r>
          <w:rPr>
            <w:color w:val="155D76"/>
          </w:rPr>
          <w:t>Effect of pillow height on biomechanics of the head neck complex</w:t>
        </w:r>
      </w:hyperlink>
      <w:r>
        <w:br/>
        <w:t>Kleine biomechanische Untersuchung; kurzfristige Haltungsmessung. Zugriff 30 September 2026.</w:t>
      </w:r>
    </w:p>
    <w:p>
      <w:r>
        <w:rPr>
          <w:i/>
        </w:rPr>
        <w:t>Begleitseite: 73.html im Ordner Seiten des Gesamtpakets.</w:t>
      </w:r>
    </w:p>
    <w:sectPr w:rsidR="00FC693F" w:rsidRPr="0006063C" w:rsidSect="00034616">
      <w:headerReference w:type="default" r:id="rId9"/>
      <w:footerReference w:type="default" r:id="rId10"/>
      <w:pgSz w:w="11906" w:h="16838"/>
      <w:pgMar w:top="1134" w:right="1247" w:bottom="107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Recherche 30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STOLL  |  SCHLAFFORSCHUNG  |  THEMA 73</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1" w:lineRule="auto" w:after="12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ubmed.ncbi.nlm.nih.gov/22129355/" TargetMode="External"/><Relationship Id="rId12" Type="http://schemas.openxmlformats.org/officeDocument/2006/relationships/hyperlink" Target="https://pubmed.ncbi.nlm.nih.gov/2763535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