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Unterfederung Körperbau und Wirbelsäulenstabilität</w:t>
      </w:r>
    </w:p>
    <w:p>
      <w:pPr>
        <w:spacing w:after="240"/>
      </w:pPr>
      <w:r>
        <w:t>Thema 72  |  Körper und Schlaf</w:t>
      </w:r>
    </w:p>
    <w:p>
      <w:r>
        <w:rPr>
          <w:b/>
        </w:rPr>
        <w:t>Boxspring und Lattenrost sind ohne vollständigen Aufbau nicht sinnvoll zu bewerten</w:t>
      </w:r>
    </w:p>
    <w:p>
      <w:pPr>
        <w:widowControl/>
      </w:pPr>
      <w:r>
        <w:t>Untersucht werden Unterfederung, Matratze und Körpergeometrie als gemeinsames mechanisches System. Gewichtsklassen und BMI sind grobe Ausgangsdaten. Eine individuell passende Zonierung benötigt zusätzlich Konturen, bevorzugte Lage und die relativen Einsinktiefen von Schulter, Taille und Becken.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Seriell wirkende Nachgiebigkeit</w:t>
      </w:r>
    </w:p>
    <w:p>
      <w:pPr>
        <w:widowControl/>
      </w:pPr>
      <w:r>
        <w:t>Unter Last geben Matratze und Unterfederung gemeinsam nach. Die Gesamtverformung hängt von beiden Komponenten ab und ist bei realen Konstruktionen nicht linear. Eine flexible Unterfederung kann eine dünne Matratze stärker beeinflussen als einen dicken eigenständig tragenden Aufbau. Ein Boxspring ist daher weder grundsätzlich stabiler noch grundsätzlich instabiler als ein Lattenrost. Begriffe wie orthopädische Stabilität müssen in konkrete Messgrößen übersetzt werden: segmentale Lage, Bewegungsfreiheit, Druck und Beschwerden.</w:t>
      </w:r>
    </w:p>
    <w:p>
      <w:pPr>
        <w:pStyle w:val="Heading1"/>
      </w:pPr>
      <w:r>
        <w:t>2 Körperbau und belastbare Befunde</w:t>
      </w:r>
    </w:p>
    <w:p>
      <w:pPr>
        <w:widowControl/>
      </w:pPr>
      <w:r>
        <w:t>Eine experimentelle und rechnerische Arbeit an 25 Männern verglich seitliche Wirbelsäulenverläufe auf unterschiedlichen Unterlagen und einer angepassten Anordnung. Die Ergebnisse sprechen für die Bedeutung individueller Konturen, insbesondere bei ausgeprägter Geometrie. [1] Eine weitere Arbeit kombinierte Haltungsmessung mit Modellierung von Bandscheibenbelastung. [2] Beide Arbeiten rechtfertigen eine differenzierte Passungsprüfung, aber keine universelle Zuordnung eines BMI zu H2, H3 oder H4. Sie sind auch kein direkter Nachweis, dass jede Boxspringkonstruktion einen Lattenrost übertrifft.</w:t>
      </w:r>
    </w:p>
    <w:p>
      <w:pPr>
        <w:pStyle w:val="Heading1"/>
      </w:pPr>
      <w:r>
        <w:t>3 Quantitative Vergleichsstrategie</w:t>
      </w:r>
    </w:p>
    <w:p>
      <w:pPr>
        <w:widowControl/>
      </w:pPr>
      <w:r>
        <w:t>Für den Kernvergleich werden dieselben Matratzen auf verschiedenen Unterbauten geprüft. Für den Angebotsvergleich werden zusätzlich vollständige Verkaufsaufbauten getestet. Gewicht wird nicht nur gruppiert, sondern zusammen mit Schulter und Beckenkonturen kontinuierlich ausgewertet. Eine Aufsichtsfotografie kann grobe Schiefstellung zeigen, misst aber keine innere Wirbelsäulenbelastung. In Rückenlage und Seitenlage gelten verschiedene geometrische Ziele. Der Versuch muss auch Lagewechsel zulassen. Eine maximale Gerade in einer einzelnen Projektion ist kein universelles anatomisches Ideal.</w:t>
      </w:r>
    </w:p>
    <w:p>
      <w:pPr>
        <w:pStyle w:val="Heading1"/>
      </w:pPr>
      <w:r>
        <w:t>4 Warum ein faktorieller Versuch hilfreicher ist</w:t>
      </w:r>
    </w:p>
    <w:p>
      <w:pPr>
        <w:widowControl/>
      </w:pPr>
      <w:r>
        <w:t>Werden zwei Matratzen und zwei Unterbauten in allen Kombinationen geprüft, lässt sich näherungsweise erkennen, ob eine Komponente unabhängig wirkt oder ob eine Wechselwirkung vorliegt. Ein Lattenrost kann beispielsweise bei einer Konstruktion deutlich und bei einer anderen kaum sichtbar eingreifen. Ein Vergleich von nur zwei Komplettbetten kann diese Ursache nicht auflösen. Die Auswertung sollte die Person als wiederholt gemessene Einheit berücksichtigen, statt jede Lageaufnahme als unabhängige Beobachtung zu zählen. Körpermaße werden vorab definiert; nachträglich gebildete günstige Gewichtsklassen können sonst zufällige Muster als überzeugende Personalisierung erscheinen lassen.</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Boxspringaufbau</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Mehrstufige Nachgiebigkeit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Topper und Unterbox gemeinsam beurteilen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Lattenrostsystem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Regionale Anpassung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Wirkung durch Matratze vermittelt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Zonierung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Konturunterschiede berücksichtigen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BMI allein reicht nicht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Segmentlage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Optische Erfassung mit definierten Landmarken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Oberfläche statt innerer Gewebekraft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Einsinktiefe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Schulter Becken Taille getrennt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Absolute Tiefe allein wenig aussagekräftig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Beschwerdeverlauf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Nächte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Erwartung und Eingewöhnung berücksichtigen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kreuzt mehrere Matratzen mit mehreren Unterbauten und dokumentiert Körpermaße. Haltung, Druck und Beweglichkeit werden in Rücken und Seitenlage erfasst. Eine anschließende mehrnächtige Phase prüft Beschwerden und Akzeptanz. Die Auswertung unterscheidet den Effekt der Unterfederung von dem der Matratze.</w:t>
      </w:r>
    </w:p>
    <w:p>
      <w:pPr>
        <w:pStyle w:val="Heading1"/>
      </w:pPr>
      <w:r>
        <w:t>Konsequenzen für STOLL und die Beratung</w:t>
      </w:r>
    </w:p>
    <w:p>
      <w:pPr>
        <w:widowControl/>
      </w:pPr>
      <w:r>
        <w:t>Eine Gewichtstabelle kann die Vorauswahl vereinfachen, darf die Passungsprüfung aber nicht ersetzen. STOLL sollte vorhandene Unterfederung und Kissen in die Beratung einbeziehen. Ektomorph und Endomorph sind keine ausreichend präzisen technischen Bemessungsklassen.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Boxspring und Lattenrost sind ohne vollständigen Aufbau nicht sinnvoll zu bewerten. Untersucht werden Unterfederung, Matratze und Körpergeometrie als gemeinsames mechanisches System.</w:t>
      </w:r>
    </w:p>
    <w:p>
      <w:pPr>
        <w:pStyle w:val="Heading1"/>
      </w:pPr>
      <w:r>
        <w:t>Quellen und Grenzen der Übertragbarkeit</w:t>
      </w:r>
    </w:p>
    <w:p>
      <w:pPr>
        <w:keepNext/>
        <w:keepLines/>
      </w:pPr>
      <w:r>
        <w:t xml:space="preserve">[1] </w:t>
      </w:r>
      <w:hyperlink r:id="rId11">
        <w:r>
          <w:rPr>
            <w:color w:val="155D76"/>
          </w:rPr>
          <w:t>Spine alignment in men during lateral sleep position</w:t>
        </w:r>
      </w:hyperlink>
      <w:r>
        <w:br/>
        <w:t>Optische Messung und Modellierung bei 25 Männern; keine universelle Härtegradformel. Zugriff 30 September 2026.</w:t>
      </w:r>
    </w:p>
    <w:p>
      <w:pPr>
        <w:keepNext/>
        <w:keepLines/>
      </w:pPr>
      <w:r>
        <w:t xml:space="preserve">[2] </w:t>
      </w:r>
      <w:hyperlink r:id="rId12">
        <w:r>
          <w:rPr>
            <w:color w:val="155D76"/>
          </w:rPr>
          <w:t>Mattress stiffness spinal curvature and intervertebral disc stress</w:t>
        </w:r>
      </w:hyperlink>
      <w:r>
        <w:br/>
        <w:t>Experimentelle und rechnerische Untersuchung; modellierte innere Kräfte sind keine direkte Gewebemessung. Zugriff 30 September 2026.</w:t>
      </w:r>
    </w:p>
    <w:p>
      <w:r>
        <w:rPr>
          <w:i/>
        </w:rPr>
        <w:t>Begleitseite: 72.html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2129355/" TargetMode="External"/><Relationship Id="rId12" Type="http://schemas.openxmlformats.org/officeDocument/2006/relationships/hyperlink" Target="https://pubmed.ncbi.nlm.nih.gov/36101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