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Agave und Kokoslatex als tragende Faserverbunde</w:t>
      </w:r>
    </w:p>
    <w:p>
      <w:pPr>
        <w:spacing w:after="240"/>
      </w:pPr>
      <w:r>
        <w:t>Thema 65  |  Klima und Materialien</w:t>
      </w:r>
    </w:p>
    <w:p>
      <w:r>
        <w:rPr>
          <w:b/>
        </w:rPr>
        <w:t>Faserzugfestigkeit sagt wenig über die Stützkraft einer Matratzenlage</w:t>
      </w:r>
    </w:p>
    <w:p>
      <w:pPr>
        <w:widowControl/>
      </w:pPr>
      <w:r>
        <w:t>Agavefasern, besonders Sisal, und Kokosfasern können tragende Vliese oder latexierte Verbunde bilden. Verglichen werden muss die ganze Schicht mit ihrer Dichte, Faserausrichtung und Bindung. Eine Rangliste anhand einzelner Faserfestigkeiten wäre für die Liegefunktion unzureichend.</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Zugbelastung und Druckbelastung unterscheiden</w:t>
      </w:r>
    </w:p>
    <w:p>
      <w:pPr>
        <w:widowControl/>
      </w:pPr>
      <w:r>
        <w:t>Sisal stammt aus Agave und besitzt eine längliche pflanzliche Faserstruktur. Kokosfaser ist ebenfalls ein Naturfaserwerkstoff, jedoch mit anderer Morphologie und Zusammensetzung. In einem Vlies wirken Biegung, Reibung und Umlagerung der Fasern; ein Latexbindemittel verändert Kontakte und Rückstellung. Die Zugfestigkeit einer isolierten Faser kann deshalb nicht direkt in eine Stauchhärte der fertigen Lage umgerechnet werden. Ebenso wenig bedeutet eine steifere Einzelfaser automatisch mehr dauerhaft angenehme Stützkraft.</w:t>
      </w:r>
    </w:p>
    <w:p>
      <w:pPr>
        <w:pStyle w:val="Heading1"/>
      </w:pPr>
      <w:r>
        <w:t>2 Was die identifizierte Materialforschung zeigt</w:t>
      </w:r>
    </w:p>
    <w:p>
      <w:pPr>
        <w:widowControl/>
      </w:pPr>
      <w:r>
        <w:t>Eine Primärarbeit zu Sisal und Kokos in PLA Verbunden untersucht mechanische Materialeigenschaften und unterschiedliche Faseranteile. [1] Diese Daten sind relevant für die Frage, wie Fasern einen Verbund beeinflussen. PLA als thermoplastische Matrix ist jedoch ein anderes System als latexierte Matratzenpolster. Die Studie wird deshalb nicht als direkter Siegernachweis für Sisalmatratzen verwendet. Für den verlangten Vergleich fehlen unabhängig abgesicherte Messreihen an geometrisch und funktionell vergleichbaren Agave und Kokoslatexlagen.</w:t>
      </w:r>
    </w:p>
    <w:p>
      <w:pPr>
        <w:pStyle w:val="Heading1"/>
      </w:pPr>
      <w:r>
        <w:t>3 Stützkraft über die Gebrauchsdauer</w:t>
      </w:r>
    </w:p>
    <w:p>
      <w:pPr>
        <w:widowControl/>
      </w:pPr>
      <w:r>
        <w:t>Eine geeignete Prüfung erfasst die Kraft bei mehreren Eindringtiefen, die Erholung nach Entlastung und eine mögliche bleibende Verdichtung. Die Belastung muss zur tatsächlichen Rolle der Lage passen: Trägerplatte, Komfortschicht oder Rand sind verschiedene Anwendungen. Feuchtewechsel und wiederholte Belastung können die Kontaktstruktur verändern. Dicke und Flächenmasse werden vorab gemessen. Bei gleichem Gewicht kann eine dickere lockere Lage weicher beginnen und später stärker verdichten. Die Kurve ist deshalb informativer als das Wort fest. Normbeschreibungen zur Matratzenprüfung liefern einen methodischen Rahmen, aber keine materialunabhängige Komfortbewertung. [2]</w:t>
      </w:r>
    </w:p>
    <w:p>
      <w:pPr>
        <w:pStyle w:val="Heading1"/>
      </w:pPr>
      <w:r>
        <w:t>4 Vergleich bei gleicher Masse oder gleicher Funktion</w:t>
      </w:r>
    </w:p>
    <w:p>
      <w:pPr>
        <w:widowControl/>
      </w:pPr>
      <w:r>
        <w:t>Zwei Faserlagen können bei gleicher Dicke sehr verschiedene Flächenmassen besitzen. Ein Vergleich bei gleicher Masse beantwortet eine Ressourceneffizienzfrage; ein Vergleich bei gleicher anfänglicher Stützkraft beantwortet eine Funktionsfrage. Diese Designs können zu unterschiedlichen Rangfolgen führen. Deshalb wird vor dem Versuch festgelegt, welche Gleichheit relevant ist. Die Latexbindung wird als eigener Anteil dokumentiert. Werden Faserart und Binder gleichzeitig verändert, lässt sich ein Unterschied nicht eindeutig der Agave oder Kokosfaser zuschreiben. Ein faktorieller Entwicklungsversuch mit mehreren Binderanteilen wäre hierfür informativer als zwei zufällig ausgewählte Verkaufsprodukte.</w:t>
      </w:r>
    </w:p>
    <w:p>
      <w:pPr>
        <w:pStyle w:val="Heading1"/>
      </w:pPr>
      <w:r>
        <w:t>5 Vom Einzelmaterial zum vollständigen Aufbau</w:t>
      </w:r>
    </w:p>
    <w:p>
      <w:pPr>
        <w:widowControl/>
      </w:pPr>
      <w:r>
        <w:t>Ein Materialkennwert wird an einer definierten Probe erhoben. Im Bett wirken hingegen Bezug, Füllung, Verbindungsschichten, Kern, Unterfederung und Schutzauflage zusammen. Für eine belastbare Entwicklung sind deshalb zwei Versuchsreihen erforderlich. In der ersten wird eine Komponente bei sonst identischem Aufbau variiert. In der zweiten werden die tatsächlich angebotenen Gesamtsysteme verglichen. Die erste Reihe erklärt Ursachen; die zweite prüft die Nutzung. Beide Ergebnisse sollten im Datenblatt unterscheidbar bleiben.</w:t>
      </w:r>
    </w:p>
    <w:p>
      <w:pPr>
        <w:widowControl/>
      </w:pPr>
      <w:r>
        <w:t>Kompression verändert Dicke und Kontaktflächen und kann Strömungswege verschließen. Feuchtigkeit verändert die Benetzung, die Wärmeübertragung und teilweise das mechanische Verhalten. Eine Probe, die im trockenen Neuzustand gut abschneidet, ist deshalb noch nicht über ihre Nutzungsdauer charakterisiert. Für einen Vergleich werden Vorbehandlung, Raumklima, Belastung, Probenrichtung und Erholungszeit dokumentiert. Bei Naturmaterialien gehören Streuungen zwischen Chargen zum Ergebnis. Ein einzelner Spitzenwert bildet diese Streuung nicht ab.</w:t>
      </w:r>
    </w:p>
    <w:p>
      <w:pPr>
        <w:pStyle w:val="Heading1"/>
      </w:pPr>
      <w:r>
        <w:t>6 Alterung Pflege und nachvollziehbare Leistungsangaben</w:t>
      </w:r>
    </w:p>
    <w:p>
      <w:pPr>
        <w:widowControl/>
      </w:pPr>
      <w:r>
        <w:t>Ein eigener Prüfplan sollte mindestens den Neuzustand, einen definierten beanspruchten Zustand und die Erholung nach der Beanspruchung unterscheiden. Pflege erfolgt nach der tatsächlichen Freigabe des Produkts. Unzulässige Waschtemperaturen würden eher eine Fehlanwendung untersuchen als die vorgesehene Lebensdauer. Für nicht waschbare Kerne sind Feuchtewechsel, Kompressionszyklen und die Trennbarkeit austauschbarer Auflagen eigene Fragen. Messungen vor und nach der Pflege müssen dieselbe Methode verwenden.</w:t>
      </w:r>
    </w:p>
    <w:p>
      <w:pPr>
        <w:widowControl/>
      </w:pPr>
      <w:r>
        <w:t>Der Bericht nennt nicht nur Mittelwerte, sondern Einzelwerte, Streuung und erkennbare Ausfälle. Aus einer beschleunigten Laborbeanspruchung werden ohne validiertes Alterungsmodell keine exakten Alltagsjahre abgeleitet. Ein stärkerer Materialeffekt ist außerdem nicht zwangsläufig ein besserer Schlaf: Komfort, Beweglichkeit und Pflegeaufwand können Zielkonflikte erzeugen. Eine nachvollziehbare Leistungsangabe benennt daher die konkrete Eigenschaft und die Prüfbedingungen. Der anschließende Nutzertest prüft getrennt, ob diese Eigenschaft für die vorgesehene Personengruppe überhaupt relevant ist.</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Agavevlies</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Fasergerüst kann Last verteilen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Bindung und Dichte bestimmen Druckverhalten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Kokoslatex</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Elastisch gebundene Faserlage</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Latexanteil und Alterung produktabhängig</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Hybridlage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Kombination verschiedener Faserfunktionen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Mehr Materialien können Recycling erschweren</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Kraft Weg Kurve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Mehrere Belastungstiefen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Keine direkte Aussage über Nacken oder Rückenbeschwerden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Setzung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Dickenverlust nach Erholung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Erholungszeit muss identisch sein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Verbundanteile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Faser Binder Flächenmasse</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Naturanteil ist kein Belastbarkeitsmaß</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STOLL sollte gleiche Dicke und definierte Flächenmasse sowie zusätzlich gleiche anfängliche Stützkraft als zwei unterschiedliche Vergleichsdesigns prüfen. Kraft Weg Kurven, bleibende Setzung und Rückstellung werden vor und nach zyklischer Belastung gemessen. Die Auswertung beschreibt Streuung zwischen Chargen. Ein Nutzervergleich folgt erst nach dem Materialtest.</w:t>
      </w:r>
    </w:p>
    <w:p>
      <w:pPr>
        <w:pStyle w:val="Heading1"/>
      </w:pPr>
      <w:r>
        <w:t>Konsequenzen für STOLL und die Beratung</w:t>
      </w:r>
    </w:p>
    <w:p>
      <w:pPr>
        <w:widowControl/>
      </w:pPr>
      <w:r>
        <w:t>Agave kann eine interessante konstruktive Alternative sein. Eine Premiumaussage sollte sich auf nachvollziehbare Herkunft, Verarbeitung und geprüfte Funktion beziehen. Weder exotische Herkunft noch hohe Faserzugfestigkeit beweist eine bessere Schlafunterlage.</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Faserzugfestigkeit sagt wenig über die Stützkraft einer Matratzenlage. Agavefasern, besonders Sisal, und Kokosfasern können tragende Vliese oder latexierte Verbunde bilden.</w:t>
      </w:r>
    </w:p>
    <w:p>
      <w:pPr>
        <w:pStyle w:val="Heading1"/>
      </w:pPr>
      <w:r>
        <w:t>Quellen und Grenzen der Übertragbarkeit</w:t>
      </w:r>
    </w:p>
    <w:p>
      <w:pPr>
        <w:keepNext/>
        <w:keepLines/>
      </w:pPr>
      <w:r>
        <w:t xml:space="preserve">[1] </w:t>
      </w:r>
      <w:hyperlink r:id="rId11">
        <w:r>
          <w:rPr>
            <w:color w:val="155D76"/>
          </w:rPr>
          <w:t>Hybrid natural fiber PLA composites reinforced with sisal and coir</w:t>
        </w:r>
      </w:hyperlink>
      <w:r>
        <w:br/>
        <w:t>Materialexperiment an PLA Verbunden; keine direkte Matratzenprüfung in Latex. Zugriff 30 September 2026.</w:t>
      </w:r>
    </w:p>
    <w:p>
      <w:pPr>
        <w:keepNext/>
        <w:keepLines/>
      </w:pPr>
      <w:r>
        <w:t xml:space="preserve">[2] </w:t>
      </w:r>
      <w:hyperlink r:id="rId12">
        <w:r>
          <w:rPr>
            <w:color w:val="155D76"/>
          </w:rPr>
          <w:t>DIN EN 1957 Functional characteristics of beds and mattresses</w:t>
        </w:r>
      </w:hyperlink>
      <w:r>
        <w:br/>
        <w:t>Offizielle Normbeschreibung zur Funktions und Dauerhaltbarkeitsprüfung; keine einfache Umrechnung in zehn Nutzungsjahre. Zugriff 30 September 2026.</w:t>
      </w:r>
    </w:p>
    <w:p>
      <w:r>
        <w:rPr>
          <w:i/>
        </w:rPr>
        <w:t>Begleitseite: 65.html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65</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mc.ncbi.nlm.nih.gov/articles/PMC11723391/" TargetMode="External"/><Relationship Id="rId12" Type="http://schemas.openxmlformats.org/officeDocument/2006/relationships/hyperlink" Target="https://www.dinmedia.de/en/standard/din-en-1957/1521566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