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Feuchtigkeitsmapping über acht Stunden</w:t>
      </w:r>
    </w:p>
    <w:p>
      <w:pPr>
        <w:spacing w:after="240"/>
      </w:pPr>
      <w:r>
        <w:t>Thema 63  |  Klima und Materialien</w:t>
      </w:r>
    </w:p>
    <w:p>
      <w:r>
        <w:rPr>
          <w:b/>
        </w:rPr>
        <w:t>Eine Feuchtekarte braucht gleichzeitig Temperatur Zeit und Messort</w:t>
      </w:r>
    </w:p>
    <w:p>
      <w:pPr>
        <w:widowControl/>
      </w:pPr>
      <w:r>
        <w:t>Ein achtstündiges Mapping kann zeigen, wo sich Feuchte im Schlafsystem ansammelt und wie sie wieder abgegeben wird. Relative Luftfeuchte ist jedoch keine Schweißmenge. Die Begleitseite zeigt ein ausdrücklich hypothetisches räumliches Zeitmodell, das später durch reale Messdaten ersetzt werden kann.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Die Bilanz der Feuchtigkeit</w:t>
      </w:r>
    </w:p>
    <w:p>
      <w:pPr>
        <w:widowControl/>
      </w:pPr>
      <w:r>
        <w:t>Wasser gelangt durch insensible Abgabe und situationsabhängiges Schwitzen in Kleidung, Laken, Bezug und Decke. Ein Anteil verdunstet, ein anderer wird sorbiert oder als Flüssigkeit transportiert. Die gespeicherte Menge ergibt sich aus Eintrag minus Abgabe. Sie ist nicht identisch mit der relativen Luftfeuchte eines kleinen Luftvolumens. Bei steigender Temperatur kann die relative Feuchte trotz gleicher absoluter Wassermenge sinken. Eine warme trockener erscheinende Sensorzone kann deshalb mehr Wasserdampf enthalten als eine kühlere Zone.</w:t>
      </w:r>
    </w:p>
    <w:p>
      <w:pPr>
        <w:pStyle w:val="Heading1"/>
      </w:pPr>
      <w:r>
        <w:t>2 Ein sinnvolles räumliches Raster</w:t>
      </w:r>
    </w:p>
    <w:p>
      <w:pPr>
        <w:widowControl/>
      </w:pPr>
      <w:r>
        <w:t>Für ein eigenes Protokoll werden Schulter, Rücken, Becken und Fußbereich sowie jeweils Kontaktfläche und eine tiefere Lage festgelegt. Ein zusätzlicher Raumsensor beschreibt die Randbedingung. Dünne Sensoren und ihre Leitungen dürfen den Kontakt nicht wesentlich verändern. Nach dem Aufstehen muss weitergemessen werden, weil die Rücktrocknung über den nächsten Nutzungstag entscheidet. Ein dichter Topper kann die Kontaktzone prägen, obwohl der Kern große Hohlräume besitzt. Methoden zur Wärme und Dampfübertragung von Unterlagen verdeutlichen die Notwendigkeit, den Aufbau als System zu betrachten. [1]</w:t>
      </w:r>
    </w:p>
    <w:p>
      <w:pPr>
        <w:pStyle w:val="Heading1"/>
      </w:pPr>
      <w:r>
        <w:t>3 Aus Zeitreihen wird erst dann eine Karte</w:t>
      </w:r>
    </w:p>
    <w:p>
      <w:pPr>
        <w:widowControl/>
      </w:pPr>
      <w:r>
        <w:t>Jeder Messpunkt benötigt eine Kalibrierung, Zeitstempel und Unsicherheit. Eine farbige Interpolation zwischen wenigen Punkten schafft keine neuen Messungen. Deshalb sollten die tatsächlichen Sensorpositionen sichtbar bleiben. Farbskalen bleiben über Zeit und Produkte identisch; automatisch wechselnde Skalen können kleine Unterschiede dramatisieren. Ein Achtstundenmodell mit vorgegebenem Eintrag und Trocknungsrate dient nur dazu, die Bilanz zu erklären. Es kann weder individuelle Schweißraten noch die Rangfolge von Latex und Federkern vorhersagen. Für Materialvergleiche wird zusätzlich die gravimetrische Wasseraufnahme einzelner Schichten bestimmt.</w:t>
      </w:r>
    </w:p>
    <w:p>
      <w:pPr>
        <w:pStyle w:val="Heading1"/>
      </w:pPr>
      <w:r>
        <w:t>4 Acht Stunden und die anschließende Trocknungsphase</w:t>
      </w:r>
    </w:p>
    <w:p>
      <w:pPr>
        <w:widowControl/>
      </w:pPr>
      <w:r>
        <w:t>Ein vereinfachtes Bilanzmodell kann pro Zone einen zeitlich konstanten Eintrag und eine von der gespeicherten Menge abhängige Abgabe annehmen. Es zeigt dann zunächst einen Anstieg, der sich einem Gleichgewicht annähert. Nach Ende des Eintrags fällt die gespeicherte Menge wieder ab. Dieses Modell erklärt eine mögliche Form des Verlaufs, nicht dessen reale Höhe. Die gezeigten Zonenwerte sind daher dimensionslose Modellgrößen und keine Prozentwerte der Luftfeuchte oder Gramm Schweiß. Für eine reale Kalibrierung wären gemessene Massenänderungen und Transportparameter nötig. Ein Produktvergleich sollte insbesondere prüfen, ob vor der folgenden Nacht wieder ein vergleichbarer Ausgangszustand erreicht wird.</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Kontaktzone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Beschreibt das unmittelbare Mikroklima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Sensor kann die Kontaktstelle beeinflussen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Kernzone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Zeigt verzögerten Transport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Feuchtegehalt nicht direkt aus Prozentwert ableitbar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Rücktrocknung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Erfasst die Abgabe nach der Nacht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Benötigt längere Beobachtung als acht Stunden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Synchron an jedem Feuchtesensor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Erforderlich zur Interpretation relativer Feuchte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Wasseraufnahme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Masseänderung der Schicht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Verdunstungsverluste während des Wiegens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Trocknungszeit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 bis zu definiertem Ausgangszustand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universeller Grenzwert für alle Materialien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Zunächst wird ein beheizter Prüfkörper mit definierter Wasserzufuhr eingesetzt. Die Schichten werden vor und nach dem Versuch gewogen. Danach folgt ein Nutzertest mit unverändertem Raumklima und wechselnder Reihenfolge. Karten enthalten Skala, Uhrzeit, Sensorpunkte und einen Hinweis auf fehlende Werte. Einträge aus unterschiedlichen Nächten werden nicht als gleichzeitiges Bild zusammengesetzt.</w:t>
      </w:r>
    </w:p>
    <w:p>
      <w:pPr>
        <w:pStyle w:val="Heading1"/>
      </w:pPr>
      <w:r>
        <w:t>Konsequenzen für STOLL und die Beratung</w:t>
      </w:r>
    </w:p>
    <w:p>
      <w:pPr>
        <w:widowControl/>
      </w:pPr>
      <w:r>
        <w:t>STOLL kann ein Mapping als Entwicklungs und Beratungsinstrument nutzen, wenn gemessene Daten und Simulation sichtbar getrennt bleiben. Der Nutzen besteht darin, einen Transportengpass zu lokalisieren. Eine farbige Fläche allein beweist weder Schimmelrisiko noch gesunden Schlaf.</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Eine Feuchtekarte braucht gleichzeitig Temperatur Zeit und Messort. Ein achtstündiges Mapping kann zeigen, wo sich Feuchte im Schlafsystem ansammelt und wie sie wieder abgegeben wird.</w:t>
      </w:r>
    </w:p>
    <w:p>
      <w:pPr>
        <w:pStyle w:val="Heading1"/>
      </w:pPr>
      <w:r>
        <w:t>Quellen und Grenzen der Übertragbarkeit</w:t>
      </w:r>
    </w:p>
    <w:p>
      <w:pPr>
        <w:keepNext/>
        <w:keepLines/>
      </w:pPr>
      <w:r>
        <w:t xml:space="preserve">[1] </w:t>
      </w:r>
      <w:hyperlink r:id="rId11">
        <w:r>
          <w:rPr>
            <w:color w:val="155D76"/>
          </w:rPr>
          <w:t>Heat transfer and water vapour permeability of patient support systems</w:t>
        </w:r>
      </w:hyperlink>
      <w:r>
        <w:br/>
        <w:t>Methodische Primärarbeit zu Unterlagen; kein direkter Vergleich aller Wohnmatratzen. Zugriff 30 September 2026.</w:t>
      </w:r>
    </w:p>
    <w:p>
      <w:pPr>
        <w:keepNext/>
        <w:keepLines/>
      </w:pPr>
      <w:r>
        <w:t xml:space="preserve">[2] </w:t>
      </w:r>
      <w:hyperlink r:id="rId12">
        <w:r>
          <w:rPr>
            <w:color w:val="155D76"/>
          </w:rPr>
          <w:t>Emission rate of carbon dioxide while sleeping</w:t>
        </w:r>
      </w:hyperlink>
      <w:r>
        <w:br/>
        <w:t>Methodische Analogie einer Stoffbilanz; CO2 Emission ist kein Maß für Schweiß. Zugriff 30 September 2026.</w:t>
      </w:r>
    </w:p>
    <w:p>
      <w:r>
        <w:rPr>
          <w:i/>
        </w:rPr>
        <w:t>Begleitseite: 63.html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0717550/" TargetMode="External"/><Relationship Id="rId12" Type="http://schemas.openxmlformats.org/officeDocument/2006/relationships/hyperlink" Target="https://pubmed.ncbi.nlm.nih.gov/343377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