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Schlafsysteme für Menschen ab siebzig Jahren</w:t>
      </w:r>
    </w:p>
    <w:p>
      <w:pPr>
        <w:spacing w:after="240"/>
      </w:pPr>
      <w:r>
        <w:t>Thema 59  |  Körper und Schlaf</w:t>
      </w:r>
    </w:p>
    <w:p>
      <w:r>
        <w:rPr>
          <w:b/>
        </w:rPr>
        <w:t>Funktionelle Fähigkeiten sind wichtiger als das Alter allein</w:t>
      </w:r>
    </w:p>
    <w:p>
      <w:pPr>
        <w:widowControl/>
      </w:pPr>
      <w:r>
        <w:t>Menschen ab siebzig Jahren unterscheiden sich stark in Kraft, Beweglichkeit, Hautzustand, Körperform und Erkrankungen. Eine einzige Seniorenmatratze kann diese Vielfalt nicht abdecken. Wichtige Anforderungen sind selbstständiges Drehen, sicheres Aufstehen, verträgliche Druckverteilung, passendes Mikroklima und einfache Pflege. Diese Recherche ordnet die Auswahl nach funktionellen Bedürfnissen und trennt Komfortberatung von medizinischer Versorgung bei erhöhtem Risiko.</w:t>
      </w:r>
    </w:p>
    <w:p>
      <w:pPr>
        <w:pStyle w:val="Heading1"/>
      </w:pPr>
      <w:r>
        <w:t>Fragestellung und Recherchegrundlage</w:t>
      </w:r>
    </w:p>
    <w:p>
      <w:pPr>
        <w:widowControl/>
      </w:pPr>
      <w:r>
        <w:t>Diese Ausarbeitung ist eine gezielte narrative Recherche mit Stand 30 September 2026. Ausgangspunkt sind die konkrete Themenfrage, wissenschaftliche Publikationen und bei technischen oder rechtlichen Fragen die zuständigen Originalquellen. Die vom Auftraggeber bereitgestellten Worddateien dienen als Vorbilder für fachliche Gliederung und vergleichende Darstellung. Ihre einzelnen Aussagen wurden nicht ungeprüft übernommen. Die Recherche ist keine systematische Vollerhebung, keine Metaanalyse und keine Zertifizierung eines Produkts.</w:t>
      </w:r>
    </w:p>
    <w:p>
      <w:pPr>
        <w:widowControl/>
      </w:pPr>
      <w:r>
        <w:t>Die Quellen wurden über zugängliche Publikationsseiten, bibliografische Datensätze und verfügbare Auszüge geprüft. Nicht für jede Quelle war ein vollständiger Artikel zugänglich. Wo nur Zusammenfassung oder Auszug vorlag, beschränkt sich die Beschreibung auf die dort erkennbaren Angaben. Zahlen werden nur mit ihrem Studienkontext genannt; fehlende Detailangaben werden nicht ergänzt. Eine Formulierung wie „kein belastbarer Nachweis identifiziert“ beschreibt das Ergebnis dieser gezielten Recherche und beweist nicht, dass weltweit keinerlei Arbeit existiert.</w:t>
      </w:r>
    </w:p>
    <w:p>
      <w:pPr>
        <w:widowControl/>
      </w:pPr>
      <w:r>
        <w:t>Die Quellenziffern im Text verweisen auf das Verzeichnis am Ende. Direkt untersuchte Befunde, mechanistische Überlegungen und eigene praktische Ableitungen sind sprachlich getrennt. Hypothetische Fälle illustrieren die Entscheidungslogik; sie sind keine dokumentierten Kundenerfahrungen. Die vorgeschlagenen Prüfpläne sind eigene Entwürfe. Sie legen weder eine verbindliche Norm noch einen medizinischen Behandlungsablauf fest. Aussagen über eine Produktklasse werden nicht automatisch auf einzelne Modelle übertragen.</w:t>
      </w:r>
    </w:p>
    <w:p>
      <w:pPr>
        <w:pStyle w:val="Heading1"/>
      </w:pPr>
      <w:r>
        <w:t>1 Alter ist kein Härtegrad</w:t>
      </w:r>
    </w:p>
    <w:p>
      <w:pPr>
        <w:widowControl/>
      </w:pPr>
      <w:r>
        <w:t>Zwei gleich alte Menschen können sehr unterschiedliche Anforderungen haben. Eine sportliche Person mit guter Beweglichkeit benötigt möglicherweise eine andere Unterstützung als eine Person mit geringer Muskelkraft oder empfindlicher Haut. Auch Medikamente, Schmerzen, neurologische Erkrankungen und nächtlicher Harndrang beeinflussen die Nutzung.</w:t>
      </w:r>
    </w:p>
    <w:p>
      <w:pPr>
        <w:widowControl/>
      </w:pPr>
      <w:r>
        <w:t>Die Beratung sollte deshalb konkrete Aufgaben prüfen. Kann die Person selbstständig von Rücken- in Seitenlage wechseln, an die Kante gelangen, aufrecht sitzen und aufstehen? Welche Bewegungen schmerzen oder erfordern Hilfe? Solche Beobachtungen sind für die Auswahl oft aussagekräftiger als eine starre Zuordnung nach Lebensalter oder Körpergewicht.</w:t>
      </w:r>
    </w:p>
    <w:p>
      <w:pPr>
        <w:pStyle w:val="Heading1"/>
      </w:pPr>
      <w:r>
        <w:t>2 Sitzkante und Betthöhe</w:t>
      </w:r>
    </w:p>
    <w:p>
      <w:pPr>
        <w:widowControl/>
      </w:pPr>
      <w:r>
        <w:t>Eine stabile Kante kann beim Sitzen und Transfer helfen. Sie sollte jedoch nicht so hoch oder ungünstig geformt sein, dass die Füße den Boden nicht sicher erreichen. Die tatsächliche Sitzhöhe unter Belastung ist relevanter als die unbelastete Produkthöhe. Schuhe, Boden und individuelle Beinlänge verändern die Situation.</w:t>
      </w:r>
    </w:p>
    <w:p>
      <w:pPr>
        <w:widowControl/>
      </w:pPr>
      <w:r>
        <w:t>Eine Studie zu Bett- und Toilettenhöhe bei gebrechlichen Pflegeheimbewohnern verdeutlicht die Bedeutung des Verhältnisses zwischen Person und Umgebung für Transfers. [1] Sie liefert keine universelle Zentimeterangabe für jedes Wohnbett. Eine individuelle Funktionsprüfung bleibt notwendig.</w:t>
      </w:r>
    </w:p>
    <w:p>
      <w:pPr>
        <w:pStyle w:val="Heading1"/>
      </w:pPr>
      <w:r>
        <w:t>3 Druckentlastung und Beweglichkeit ausbalancieren</w:t>
      </w:r>
    </w:p>
    <w:p>
      <w:pPr>
        <w:widowControl/>
      </w:pPr>
      <w:r>
        <w:t>Eine nachgiebige Oberfläche kann Druck verteilen, aber tiefes Einsinken kann das Umdrehen erschweren. Gerade bei geringer Kraft ist dieser Zielkonflikt wichtig. Eine sehr feste Oberfläche kann Bewegung erleichtern, jedoch lokal unangenehm sein. Die geeignete Kombination wird deshalb unter realer Belastung und in den bevorzugten Lagen geprüft.</w:t>
      </w:r>
    </w:p>
    <w:p>
      <w:pPr>
        <w:widowControl/>
      </w:pPr>
      <w:r>
        <w:t>Bei hohem Dekubitusrisiko sind geeignete klinische Unterlagen und weitere Präventionsmaßnahmen erforderlich. NICE empfiehlt risikobezogene Beurteilung und entsprechende druckverteilende Versorgung. [2] Eine Komfortmatratze mit weichem Topper ist nicht automatisch ein Ersatz für eine medizinisch indizierte Lösung.</w:t>
      </w:r>
    </w:p>
    <w:p>
      <w:pPr>
        <w:pStyle w:val="Heading1"/>
      </w:pPr>
      <w:r>
        <w:t>4 Mikroklima Hygiene und Bedienung</w:t>
      </w:r>
    </w:p>
    <w:p>
      <w:pPr>
        <w:widowControl/>
      </w:pPr>
      <w:r>
        <w:t>Waschbare Bezüge, leicht handhabbare Teilungen und verfügbare Ersatzteile können den Alltag erleichtern. Bei Inkontinenz müssen Schutz, Dampftransport und Pflege zusammenpassen. Eine notwendige Schutzauflage sollte in die Liegeprobe einbezogen werden, weil sie das Gefühl und Mikroklima verändern kann.</w:t>
      </w:r>
    </w:p>
    <w:p>
      <w:pPr>
        <w:widowControl/>
      </w:pPr>
      <w:r>
        <w:t>Verstellbare Systeme benötigen gut erreichbare, verständliche Bedienelemente. Kleine Symbole, komplexe Apps oder schwer erkennbare Zustände können die Nutzung erschweren. Ein klarer manueller Betrieb und ein brauchbarer Zustand bei Stromausfall sind praktische Qualitätsmerkmale. Technik ist dann hilfreich, wenn sie eine konkrete Aufgabe erleichtert.</w:t>
      </w:r>
    </w:p>
    <w:p>
      <w:pPr>
        <w:pStyle w:val="Heading1"/>
      </w:pPr>
      <w:r>
        <w:t>5 Schlafprobleme jenseits der Matratze</w:t>
      </w:r>
    </w:p>
    <w:p>
      <w:pPr>
        <w:widowControl/>
      </w:pPr>
      <w:r>
        <w:t>Schlafapnoe, Schmerzen, depressive Symptome, Medikamente oder andere Erkrankungen können den Schlaf beeinflussen. Eine neue Unterlage kann körperliche Störungen vermindern, aber diese Ursachen nicht pauschal behandeln. Nächtliche Wege erfordern zudem ausreichend sichere Orientierung, ohne unnötig helle Dauerbeleuchtung.</w:t>
      </w:r>
    </w:p>
    <w:p>
      <w:pPr>
        <w:widowControl/>
      </w:pPr>
      <w:r>
        <w:t>Sensorgestützte Beobachtung kann in bestimmten Versorgungskonzepten zusätzliche Informationen liefern. Eine explorative Studie untersuchte kontaktlose Schlafdaten zur Erkennung gesundheitlicher Veränderungen bei älteren Menschen. [3] Daraus folgt keine allgemeine Diagnosefähigkeit jeder Smart-Matratze. Datenschutz, Fehlalarme und die Frage, wer auf Hinweise reagiert, gehören zur Entscheidung.</w:t>
      </w:r>
    </w:p>
    <w:p>
      <w:pPr>
        <w:pStyle w:val="Heading1"/>
      </w:pPr>
      <w:r>
        <w:t>6 Belastete Sitzhöhe statt Katalogmaß</w:t>
      </w:r>
    </w:p>
    <w:p>
      <w:pPr>
        <w:widowControl/>
      </w:pPr>
      <w:r>
        <w:t>Beim Sitzen sinkt die Kante je nach Konstruktion und Person unterschiedlich ein. Die Höhe im Katalog beschreibt daher nicht zwingend die tatsächlich genutzte Transferposition. Fußkontakt, Knieposition und verfügbare Armstütze müssen gemeinsam betrachtet werden.</w:t>
      </w:r>
    </w:p>
    <w:p>
      <w:pPr>
        <w:widowControl/>
      </w:pPr>
      <w:r>
        <w:t>Eine sichere Probe erfolgt mit der üblichen Kleidung und gegebenenfalls den verwendeten Hilfsmitteln. Die Person sollte nicht zu einer riskanten Bewegung gedrängt werden. Fachliche Unterstützung kann nötig sein. Für STOLL ist die dokumentierte funktionelle Beobachtung wertvoller als eine pauschale Empfehlung, Seniorenbetten müssten immer besonders hoch sein.</w:t>
      </w:r>
    </w:p>
    <w:p>
      <w:pPr>
        <w:pStyle w:val="Heading1"/>
      </w:pPr>
      <w:r>
        <w:t>7 Hypothetischer Fall einer sehr weichen Komfortmatratze</w:t>
      </w:r>
    </w:p>
    <w:p>
      <w:pPr>
        <w:widowControl/>
      </w:pPr>
      <w:r>
        <w:t>Eine ältere Person empfindet eine weiche Oberfläche im ruhigen Liegen als angenehm, kann sich darin aber nur mit Mühe drehen. Nachts benötigt sie häufiger Hilfe. Ein niedrigerer Druckwert allein würde diesen Nachteil übersehen.</w:t>
      </w:r>
    </w:p>
    <w:p>
      <w:pPr>
        <w:widowControl/>
      </w:pPr>
      <w:r>
        <w:t>Die passende Lösung könnte eine andere Kombination aus oberflächlicher Entlastung und tragfähigerer tieferer Unterstützung sein. Auch Rahmen, Kissen und Bettkante werden geprüft. Bei Hautrisiko muss die medizinische Eignung zusätzlich beurteilt werden. Der Fall zeigt, weshalb Komfort, Selbstständigkeit und Druckentlastung gemeinsam betrachtet werden müssen.</w:t>
      </w:r>
    </w:p>
    <w:p>
      <w:pPr>
        <w:pStyle w:val="Heading1"/>
      </w:pPr>
      <w:r>
        <w:t>8 Nachbetreuung bei veränderlichen Fähigkeiten</w:t>
      </w:r>
    </w:p>
    <w:p>
      <w:pPr>
        <w:widowControl/>
      </w:pPr>
      <w:r>
        <w:t>Kraft, Beweglichkeit und Gesundheitszustand können sich während der Nutzungsdauer verändern. Eine einmal passende Einstellung bleibt deshalb nicht automatisch dauerhaft optimal. Ein geplanter Nachtermin kann früh erkennen, ob kleine Anpassungen nötig sind.</w:t>
      </w:r>
    </w:p>
    <w:p>
      <w:pPr>
        <w:widowControl/>
      </w:pPr>
      <w:r>
        <w:t>Die Rückmeldung sollte auch Angehörige oder Betreuungspersonen einbeziehen, wenn die betroffene Person dies wünscht. Entscheidend bleibt ihre eigene Perspektive. Ein Premiumservice kann hier durch verständliche Dokumentation, verfügbare Ersatzteile und einfache Bedienung einen konkreten Nutzen schaffen.</w:t>
      </w:r>
    </w:p>
    <w:p>
      <w:pPr>
        <w:pStyle w:val="Heading1"/>
      </w:pPr>
      <w:r>
        <w:t>Vergleich der relevanten Ansätze</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Ansatz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Möglicher Beitrag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Grenze der Aussage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Gute Mobilität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Komfort und individuelle Passung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Alter allein begründet keine Sonderhärte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Geringe Kraft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Drehen und Transfer priorisieren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Zu tiefes Einsinken kann hinderlich sein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Hautrisiko</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Klinische Druckentlastung prüfen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Komfortetikett reicht nicht</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Pflegebedarf</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Bezug Schutz und Handhabung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Gesamtes System testen</w:t>
            </w:r>
          </w:p>
        </w:tc>
      </w:tr>
    </w:tbl>
    <w:p>
      <w:pPr>
        <w:spacing w:after="20"/>
      </w:pPr>
    </w:p>
    <w:p>
      <w:pPr>
        <w:pStyle w:val="Heading1"/>
      </w:pPr>
      <w:r>
        <w:t>Messgrößen und ihre Interpretation</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Messgröße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Prüfung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Wichtige Grenze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Transfer</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Hinsetzen Aufstehen und Fußkontakt</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Unter realer Belastung</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Drehfähigkeit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Mehrere Positionen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Hilfebedarf dokumentieren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Druck und Hautzustand</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Risikobezogene Fachbeurteilung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Keine Diagnose aus Druckkarte allein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Bedienbarkeit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Mit tatsächlicher Sehkraft und Handfunktion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App nicht voraussetzen</w:t>
            </w:r>
          </w:p>
        </w:tc>
      </w:tr>
    </w:tbl>
    <w:p>
      <w:pPr>
        <w:spacing w:after="20"/>
      </w:pPr>
    </w:p>
    <w:p>
      <w:pPr>
        <w:pStyle w:val="Heading1"/>
      </w:pPr>
      <w:r>
        <w:t>Einordnung der Beweiskraft</w:t>
      </w:r>
    </w:p>
    <w:p>
      <w:pPr>
        <w:widowControl/>
      </w:pPr>
      <w:r>
        <w:t>Für die Einordnung zählt zuerst, ob die Quelle genau die gestellte Frage untersucht. Eine technisch präzise Materialmessung kann für eine Materialeigenschaft sehr aussagekräftig sein und zugleich wenig über Schlaf oder langfristige Gesundheit sagen. Eine klinische Studie kann einen relevanten Nutzen zeigen, aber nur für die untersuchte Personengruppe, Konstruktion und Anwendungsdauer. Die Nähe zur konkreten Frage ist deshalb ebenso wichtig wie das Studiendesign.</w:t>
      </w:r>
    </w:p>
    <w:p>
      <w:pPr>
        <w:widowControl/>
      </w:pPr>
      <w:r>
        <w:t>Anschließend werden Vergleichsbedingung, Stichprobe, Beobachtungsdauer und mögliche Verzerrungen betrachtet. Eine Verblindung ist bei Bettwaren häufig schwierig. Erwartungen, Eingewöhnung und die Reihenfolge der getesteten Varianten können Ergebnisse beeinflussen. Bei Herstellerfinanzierung sind Transparenz und unabhängige Wiederholung besonders hilfreich; Finanzierung allein entscheidet weder für noch gegen die Gültigkeit eines Befunds. Kleine Pilotstudien dienen vor allem dazu, eine Frage genauer zu formulieren und einen größeren Versuch zu planen.</w:t>
      </w:r>
    </w:p>
    <w:p>
      <w:pPr>
        <w:widowControl/>
      </w:pPr>
      <w:r>
        <w:t>Statistische Auffälligkeit ist nicht gleich praktischer Bedeutung. Ein kleiner Unterschied kann rechnerisch erkennbar sein, ohne für die betreffende Person einen spürbaren Nutzen zu haben. Umgekehrt kann eine relevante individuelle Verbesserung in einer kleinen Gruppe statistisch unsicher bleiben. Deshalb werden Effektgröße, Unsicherheit und alltagsrelevante Endpunkte gemeinsam beurteilt. Eine pauschale Punktzahl würde diese Unterschiede verdecken. Die interaktive Begleitseite verwendet folglich keine erfundene Gesundheitsnote und keine simulierten Zahlen, die wie gemessene Materialdaten erscheinen.</w:t>
      </w:r>
    </w:p>
    <w:p>
      <w:pPr>
        <w:pStyle w:val="Heading1"/>
      </w:pPr>
      <w:r>
        <w:t>Vorschlag für eine belastbare Prüfung</w:t>
      </w:r>
    </w:p>
    <w:p>
      <w:pPr>
        <w:widowControl/>
      </w:pPr>
      <w:r>
        <w:t>Ein eigener Beratungsablauf beginnt mit einer funktionellen Ausgangsbeobachtung. Mehrere Systeme werden mit gleicher Bettware und den tatsächlich benötigten Hilfen getestet. Primär zählt die Aufgabe, die aktuell Schwierigkeiten bereitet. Nach einer Erprobungsphase werden Komfort, Selbstständigkeit und nächtliche Handhabung erneut bewertet. Bei medizinischem Risiko wird die zuständige Fachperson einbezogen. Ein dokumentierter Nachtermin ist besonders sinnvoll, weil Veränderungen von Kraft oder Gesundheit spätere Anpassungen erforderlich machen können.</w:t>
      </w:r>
    </w:p>
    <w:p>
      <w:pPr>
        <w:pStyle w:val="Heading1"/>
      </w:pPr>
      <w:r>
        <w:t>Konsequenzen für STOLL und die Beratung</w:t>
      </w:r>
    </w:p>
    <w:p>
      <w:pPr>
        <w:widowControl/>
      </w:pPr>
      <w:r>
        <w:t>STOLL sollte eine funktionelle Auswahl anbieten: passende belastete Sitzhöhe, stabile Kante, leichtes Drehen, verträglicher Druck und einfache Pflege. Die Person probiert die entscheidenden Bewegungen selbst aus, soweit sicher möglich. Bei erhöhtem Haut- oder Sturzrisiko wird fachliche Versorgung einbezogen. Eine pauschale Seniorenklassifizierung wird durch eine konkrete Beschreibung der unterstützten Fähigkeiten ersetzt.</w:t>
      </w:r>
    </w:p>
    <w:p>
      <w:pPr>
        <w:widowControl/>
      </w:pPr>
      <w:r>
        <w:t>Für die Umsetzung wird zuerst ein konkretes Ziel festgelegt und anschließend die kleinste sinnvoll prüfbare Änderung ausgewählt. Ausgangszustand, verwendeter Aufbau und Beobachtungszeitraum werden dokumentiert. Die Rückmeldung sollte sowohl den gewünschten Nutzen als auch mögliche neue Nachteile erfassen. Werden mehrere Komponenten gleichzeitig verändert, bleibt die Zuordnung eines Erfolgs unsicher. Ein individueller Vergleich kann die persönliche Auswahl verbessern, ersetzt aber keine allgemeine Wirksamkeitsstudie.</w:t>
      </w:r>
    </w:p>
    <w:p>
      <w:pPr>
        <w:widowControl/>
      </w:pPr>
      <w:r>
        <w:t>Ein Lieferantennachweis sollte das tatsächlich angebotene Modell und die vorgesehene Nutzung betreffen. Abweichungen bei Bezug, Topper, Unterfederung, Pflege oder Software können die Übertragbarkeit verändern. Die Beratung benennt solche Grenzen offen und formuliert nur diejenige Leistung, die durch Daten oder unmittelbare Beobachtung gedeckt ist. Bei medizinischen oder rechtlichen Fragestellungen bleibt die zuständige fachliche Beurteilung erforderlich. Die praktische Empfehlung dieses Dokuments ist eine Entscheidungsgrundlage und keine individuelle Diagnose.</w:t>
      </w:r>
    </w:p>
    <w:p>
      <w:pPr>
        <w:pStyle w:val="Heading1"/>
      </w:pPr>
      <w:r>
        <w:t>Fazit</w:t>
      </w:r>
    </w:p>
    <w:p>
      <w:pPr>
        <w:widowControl/>
      </w:pPr>
      <w:r>
        <w:t>Funktionelle Fähigkeiten sind wichtiger als das Alter allein. Menschen ab siebzig Jahren unterscheiden sich stark in Kraft, Beweglichkeit, Hautzustand, Körperform und Erkrankungen.</w:t>
      </w:r>
    </w:p>
    <w:p>
      <w:pPr>
        <w:pStyle w:val="Heading1"/>
      </w:pPr>
      <w:r>
        <w:t>Quellen und Grenzen der Übertragbarkeit</w:t>
      </w:r>
    </w:p>
    <w:p>
      <w:pPr>
        <w:keepNext/>
        <w:keepLines/>
      </w:pPr>
      <w:r>
        <w:t xml:space="preserve">[1] </w:t>
      </w:r>
      <w:hyperlink r:id="rId11">
        <w:r>
          <w:rPr>
            <w:color w:val="155D76"/>
          </w:rPr>
          <w:t>Bed and toilet height as potential environmental risk factors</w:t>
        </w:r>
      </w:hyperlink>
      <w:r>
        <w:br/>
        <w:t>Primärstudie in einer gebrechlichen älteren Population. Zugriff 30 September 2026.</w:t>
      </w:r>
    </w:p>
    <w:p>
      <w:pPr>
        <w:keepNext/>
        <w:keepLines/>
      </w:pPr>
      <w:r>
        <w:t xml:space="preserve">[2] </w:t>
      </w:r>
      <w:hyperlink r:id="rId12">
        <w:r>
          <w:rPr>
            <w:color w:val="155D76"/>
          </w:rPr>
          <w:t>NICE Pressure ulcers prevention and management</w:t>
        </w:r>
      </w:hyperlink>
      <w:r>
        <w:br/>
        <w:t>Offizielle klinische Empfehlungen. Zugriff 30 September 2026.</w:t>
      </w:r>
    </w:p>
    <w:p>
      <w:pPr>
        <w:keepNext/>
        <w:keepLines/>
      </w:pPr>
      <w:r>
        <w:t xml:space="preserve">[3] </w:t>
      </w:r>
      <w:hyperlink r:id="rId13">
        <w:r>
          <w:rPr>
            <w:color w:val="155D76"/>
          </w:rPr>
          <w:t>Contactless Sleep Monitoring for Early Detection of Health Deteriorations</w:t>
        </w:r>
      </w:hyperlink>
      <w:r>
        <w:br/>
        <w:t>Explorative Studie; keine universelle Diagnosevalidierung. Zugriff 30 September 2026.</w:t>
      </w:r>
    </w:p>
    <w:p>
      <w:r>
        <w:rPr>
          <w:i/>
        </w:rPr>
        <w:t>Begleitseite: 59.html im Ordner Seiten des Gesamtpakets.</w:t>
      </w:r>
    </w:p>
    <w:sectPr w:rsidR="00FC693F" w:rsidRPr="0006063C" w:rsidSect="00034616">
      <w:headerReference w:type="default" r:id="rId9"/>
      <w:footerReference w:type="default" r:id="rId10"/>
      <w:pgSz w:w="11906" w:h="16838"/>
      <w:pgMar w:top="1134" w:right="1247" w:bottom="107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Recherche 30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STOLL  |  SCHLAFFORSCHUNG  |  THEMA 59</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ubmed.ncbi.nlm.nih.gov/18184978/" TargetMode="External"/><Relationship Id="rId12" Type="http://schemas.openxmlformats.org/officeDocument/2006/relationships/hyperlink" Target="https://www.nice.org.uk/guidance/cg179/chapter/Recommendations" TargetMode="External"/><Relationship Id="rId13" Type="http://schemas.openxmlformats.org/officeDocument/2006/relationships/hyperlink" Target="https://pubmed.ncbi.nlm.nih.gov/3411496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