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Langlebigkeit als Service für Matratzenkomponenten</w:t>
      </w:r>
    </w:p>
    <w:p>
      <w:pPr>
        <w:spacing w:after="240"/>
      </w:pPr>
      <w:r>
        <w:t>Thema 57  |  Technik und Zukunft</w:t>
      </w:r>
    </w:p>
    <w:p>
      <w:r>
        <w:rPr>
          <w:b/>
        </w:rPr>
        <w:t>Zirkularität entsteht durch reale Nutzungsdauer und funktionierende Rücknahme</w:t>
      </w:r>
    </w:p>
    <w:p>
      <w:pPr>
        <w:widowControl/>
      </w:pPr>
      <w:r>
        <w:t>Ein hochwertiges Schlafsystem kann durch austauschbare Bezüge, erneuerbare Komfortlagen und langfristigen Service länger nutzbar bleiben. Ein Miet- oder Abonnementmodell ist jedoch nicht automatisch ökologisch günstiger. Transporte, Reinigung, Ersatzteile, Auslastung und tatsächliche Wiederverwendung bestimmen die Bilanz. Diese Analyse verbindet konstruktive Langlebigkeit mit einem überprüfbaren Geschäftsmodell. Für STOLL ist ein Serviceansatz dann überzeugend, wenn er funktionierende Komponenten erhält, Qualität sichert und seine Umweltwirkung mit nachvollziehbaren Daten belegt.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Lebensdauer ist eine Funktion und kein Kalenderwert</w:t>
      </w:r>
    </w:p>
    <w:p>
      <w:pPr>
        <w:widowControl/>
      </w:pPr>
      <w:r>
        <w:t>Eine Matratze kann mechanisch, hygienisch oder hinsichtlich persönlicher Passung nicht mehr geeignet sein. Diese Gründe treten nicht zwingend gleichzeitig auf. Ein Bezug kann verschlissen sein, während der Kern noch funktioniert; eine veränderte körperliche Situation kann Anpassung erfordern, obwohl das Material technisch intakt ist.</w:t>
      </w:r>
    </w:p>
    <w:p>
      <w:pPr>
        <w:widowControl/>
      </w:pPr>
      <w:r>
        <w:t>Ein Servicekonzept sollte deshalb den Zustand einzelner Komponenten beurteilen. Ein pauschaler Austausch nach einer festen Jahreszahl kann unnötig sein, während eine reine Sichtprüfung funktionelle Veränderungen übersehen kann. Die Kriterien müssen zum Produkt passen: Form, Stütze, Geräusche, Oberflächenzustand, Reinigung und Beschwerden werden getrennt betrachtet.</w:t>
      </w:r>
    </w:p>
    <w:p>
      <w:pPr>
        <w:pStyle w:val="Heading1"/>
      </w:pPr>
      <w:r>
        <w:t>2 Konstruktion für Reparatur und Trennung</w:t>
      </w:r>
    </w:p>
    <w:p>
      <w:pPr>
        <w:widowControl/>
      </w:pPr>
      <w:r>
        <w:t>Austauschbarkeit benötigt zugängliche Verbindungen, eindeutige Teile und dokumentierte Montage. Dauerhafte Verklebung kann Reparatur oder stoffliche Trennung erschweren. Mechanische Verbindungen oder geeignete modulare Hüllen können helfen, müssen aber Komfort, Stabilität und Sicherheit erhalten.</w:t>
      </w:r>
    </w:p>
    <w:p>
      <w:pPr>
        <w:widowControl/>
      </w:pPr>
      <w:r>
        <w:t>Ein Ersatzteil ist nur dann praktisch verfügbar, wenn Abmessungen, Eigenschaften und Kompatibilität über die Zeit gesichert sind. Ein Herstellerwechsel oder eine neue Modellgeneration darf den Service nicht sofort beenden. Für STOLL sind daher vertraglich belastbare Lieferfähigkeit und Dokumentation wichtiger als das bloße Wort modular.</w:t>
      </w:r>
    </w:p>
    <w:p>
      <w:pPr>
        <w:pStyle w:val="Heading1"/>
      </w:pPr>
      <w:r>
        <w:t>3 Was Lebenszyklusanalysen beitragen</w:t>
      </w:r>
    </w:p>
    <w:p>
      <w:pPr>
        <w:widowControl/>
      </w:pPr>
      <w:r>
        <w:t>Der Mattress Recycling Council hat Lebenszyklusanalysen für Matratzenrecycling in Kalifornien veröffentlicht. Diese untersuchen konkrete Sammel-, Zerlege- und Verwertungswege. [1] Die Ergebnisse sind an regionale Stoffströme, Transportwege, Energieannahmen und ersetzte Materialien gebunden.</w:t>
      </w:r>
    </w:p>
    <w:p>
      <w:pPr>
        <w:widowControl/>
      </w:pPr>
      <w:r>
        <w:t>Eine solche Analyse kann die Methodik und relevante Einflussgrößen verdeutlichen, liefert aber keinen automatisch gültigen CO₂-Vorteil für einen Service in Luxemburg. Recycling ist zudem nicht identisch mit Wiederverwendung eines Bauteils. Beide benötigen eigene Qualitäts- und Bilanzannahmen. Eine allgemeine Prozentbehauptung ohne Systemgrenze ist deshalb wenig aussagekräftig.</w:t>
      </w:r>
    </w:p>
    <w:p>
      <w:pPr>
        <w:pStyle w:val="Heading1"/>
      </w:pPr>
      <w:r>
        <w:t>4 Geschäftsmodelle mit unterschiedlichen Anreizen</w:t>
      </w:r>
    </w:p>
    <w:p>
      <w:pPr>
        <w:widowControl/>
      </w:pPr>
      <w:r>
        <w:t>Ein Reparaturservice verkauft gezielte Instandhaltung. Ein Rückkaufmodell organisiert Rücknahme und mögliche Weiterverwendung. Ein Abonnement verteilt Kosten über die Zeit, kann aber auch häufigen Austausch fördern. Die ökologische Wirkung hängt davon ab, welche Handlungen das Modell tatsächlich auslöst.</w:t>
      </w:r>
    </w:p>
    <w:p>
      <w:pPr>
        <w:widowControl/>
      </w:pPr>
      <w:r>
        <w:t>Eine sinnvolle Preisstruktur sollte Erhalt nicht benachteiligen. Wenn ein kleiner Modultausch fast so teuer ist wie ein neues Bett, wird der Kunde möglicherweise neu kaufen. Gleichzeitig müssen Servicekosten, Transport und Qualitätssicherung wirtschaftlich tragfähig bleiben. Die eigene Empfehlung ist daher eine transparente Gesamtkostenrechnung über eine realistische Nutzungsdauer.</w:t>
      </w:r>
    </w:p>
    <w:p>
      <w:pPr>
        <w:pStyle w:val="Heading1"/>
      </w:pPr>
      <w:r>
        <w:t>5 Regulatorischer Rahmen und überprüfbare Aussagen</w:t>
      </w:r>
    </w:p>
    <w:p>
      <w:pPr>
        <w:widowControl/>
      </w:pPr>
      <w:r>
        <w:t>Die europäische Ökodesignverordnung für nachhaltige Produkte schafft einen Rahmen für spätere produktbezogene Anforderungen. Sie ist nicht gleichbedeutend mit bereits vollständig festgelegten identischen Pflichten für jede Matratze. [2] Für konkrete Anforderungen müssen die jeweils anwendbaren Maßnahmen und Zeitpunkte geprüft werden.</w:t>
      </w:r>
    </w:p>
    <w:p>
      <w:pPr>
        <w:widowControl/>
      </w:pPr>
      <w:r>
        <w:t>Unabhängig davon kann STOLL belastbare eigene Kennzahlen erfassen: vermiedene vollständige Austausche, wiederverwendete Komponenten, Transportstrecken und tatsächliche Verwertungswege. Ein Rücknahmeversprechen allein beweist noch keinen geschlossenen Kreislauf. Die Kommunikation sollte zwischen repariert, wiederverwendet, stofflich verwertet und entsorgt unterscheiden.</w:t>
      </w:r>
    </w:p>
    <w:p>
      <w:pPr>
        <w:pStyle w:val="Heading1"/>
      </w:pPr>
      <w:r>
        <w:t>6 Hundert Prozent stoffliche Verwertung als prüfbare Massenbilanz</w:t>
      </w:r>
    </w:p>
    <w:p>
      <w:pPr>
        <w:widowControl/>
      </w:pPr>
      <w:r>
        <w:t>Eine Aussage über hundertprozentige stoffliche Verwertung muss den Nenner und jede Prozessstufe benennen. Rücknahmequote, Demontagequote und tatsächlich erzeugtes Sekundärmaterial sind verschiedene Größen. Stahl kann gut trennbar sein, während verklebte Schäume, Mischtextilien, Ausrüstungen und Verschmutzung Verluste verursachen. Eine Herstellerangabe hundert Prozent recycelbare Materialien beschreibt zunächst eine theoretische Eigenschaft, nicht die reale Ausbeute eines regionalen Verwerters. Thermische Nutzung zählt nicht als stoffliche Verwertung.</w:t>
      </w:r>
    </w:p>
    <w:p>
      <w:pPr>
        <w:widowControl/>
      </w:pPr>
      <w:r>
        <w:t>Ein zirkuläres Design beginnt bei lösbaren Verbindungen, dokumentierter Stückliste und langlebigen austauschbaren Komponenten. Danach werden reale Demontageversuche und Abnahmevereinbarungen benötigt. Der Service erfasst, welche Masse erneut als Material eingesetzt wird, welche Qualität sie besitzt und wohin Restfraktionen gelangen. Eine hundertprozentige Zielsetzung kann die Entwicklung leiten, sollte aber ohne geschlossene Bilanz nicht als bereits erreichte Leistung dargestellt werden. Wiederverwendung eines intakten Kerns und Recycling seiner Rohstoffe sind außerdem getrennte Wege mit unterschiedlichen Voraussetzungen.</w:t>
      </w:r>
    </w:p>
    <w:p>
      <w:pPr>
        <w:pStyle w:val="Heading1"/>
      </w:pPr>
      <w:r>
        <w:t>7 Funktionale Einheit einer Umweltbilanz</w:t>
      </w:r>
    </w:p>
    <w:p>
      <w:pPr>
        <w:widowControl/>
      </w:pPr>
      <w:r>
        <w:t>Für einen fairen Vergleich muss dieselbe Nutzungsleistung betrachtet werden. Eine einzelne Matratze mit kurzer Lebensdauer und ein reparierbares System über viele Jahre sind nicht allein anhand des Herstellungsaufwands pro Stück vergleichbar. Eine geeignete funktionale Einheit könnte eine definierte Zahl nutzbarer Liegejahre bei festgelegter Leistung sein.</w:t>
      </w:r>
    </w:p>
    <w:p>
      <w:pPr>
        <w:widowControl/>
      </w:pPr>
      <w:r>
        <w:t>Die genaue Wahl beeinflusst das Ergebnis. Werden Reinigung, Transporte oder Ersatzteile ausgelassen, kann ein Servicemodell zu günstig erscheinen. Werden unrealistisch lange Nutzungsdauern angenommen, entsteht ebenfalls ein verzerrtes Bild. Sensitivitätsanalysen zeigen, unter welchen Bedingungen der Vorteil bestehen bleibt und wann er verloren geht.</w:t>
      </w:r>
    </w:p>
    <w:p>
      <w:pPr>
        <w:pStyle w:val="Heading1"/>
      </w:pPr>
      <w:r>
        <w:t>8 Hypothetischer Fall eines jährlichen Komfortlagentauschs</w:t>
      </w:r>
    </w:p>
    <w:p>
      <w:pPr>
        <w:widowControl/>
      </w:pPr>
      <w:r>
        <w:t>Ein Abonnement bietet jedes Jahr eine neue Komfortlage an. Das klingt nach dauerhaft frischem Schlafkomfort, kann aber mehr Material und Transport verursachen als ein bedarfsbezogener Austausch. Die ökologische Bewertung hängt davon ab, ob die zurückgenommenen Teile tatsächlich weiterverwendet oder hochwertig verwertet werden.</w:t>
      </w:r>
    </w:p>
    <w:p>
      <w:pPr>
        <w:widowControl/>
      </w:pPr>
      <w:r>
        <w:t>Eine bessere Servicegestaltung könnte regelmäßige Zustandsprüfung und Austausch nur bei funktionellem Bedarf vorsehen. Der Kunde erhält Verlässlichkeit, ohne automatisch mehr Material zu verbrauchen. Dieser Fall zeigt, dass Zirkularität von den realen Abläufen und Anreizen abhängt, nicht vom Zahlungsmodell allein.</w:t>
      </w:r>
    </w:p>
    <w:p>
      <w:pPr>
        <w:pStyle w:val="Heading1"/>
      </w:pPr>
      <w:r>
        <w:t>9 Qualitätssicherung bei Wiederverwendung</w:t>
      </w:r>
    </w:p>
    <w:p>
      <w:pPr>
        <w:widowControl/>
      </w:pPr>
      <w:r>
        <w:t>Wiederverwendete Komponenten müssen hinsichtlich Funktion, Hygiene und Rückverfolgbarkeit geeignet sein. Eine bloße optische Aufbereitung reicht nicht für jede Anwendung. Die Prüfanforderungen hängen von Material und vorgesehener Nutzung ab.</w:t>
      </w:r>
    </w:p>
    <w:p>
      <w:pPr>
        <w:widowControl/>
      </w:pPr>
      <w:r>
        <w:t>STOLL sollte klar unterscheiden, welche Teile erneut als Matratzenkomponente eingesetzt, welche stofflich verwertet und welche entsorgt werden. Diese Transparenz macht das Angebot überprüfbar. Eine hohe Sammelquote ist positiv, beschreibt aber noch nicht die Qualität des tatsächlichen Kreislaufs.</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Reparaturservice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Erhält funktionierende Teile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Ersatzteile und Zugang notwendig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Modultausch</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Passt einzelne Bereiche an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Zusätzliche Transporte mitbilanzieren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Rücknahme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Organisiert den weiteren Weg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Beweis tatsächlichen Recyclings</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Abonnement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Service finanzieren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häufigen Austausch auch fördern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Funktionale Nutzungsdauer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Zustand und reale Nutzung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nur Garantiezeit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Materialströme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Masse nach tatsächlichem Verbleib</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Recycling von Wiederverwendung trennen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Transport und Reinigung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Reale Wege und Energie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aus der Bilanz auslassen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Gesamtkosten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Kauf Service Ersatz und Rücknahme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Gleiche Nutzungsleistung vergleichen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Pilot vergleicht einen betreuten modularen Service mit dem bisherigen Ersatzmodell über dieselbe funktionale Nutzungsleistung. Erfasst werden Komponentenalter, Defektgrund, Reparatur, Transport, Reinigung und Endverbleib. Umweltkennzahlen beruhen auf transparenten Systemgrenzen und Sensitivitätsanalysen. Ein günstiges Szenario wird nicht als gesicherter Durchschnitt ausgegeben. Parallel werden Kundenzufriedenheit, Ausfallzeiten und Wirtschaftlichkeit bewertet. Erst nach realer Nutzung kann beurteilt werden, ob das Modell vollständige Neuanschaffungen tatsächlich reduziert.</w:t>
      </w:r>
    </w:p>
    <w:p>
      <w:pPr>
        <w:pStyle w:val="Heading1"/>
      </w:pPr>
      <w:r>
        <w:t>Konsequenzen für STOLL und die Beratung</w:t>
      </w:r>
    </w:p>
    <w:p>
      <w:pPr>
        <w:widowControl/>
      </w:pPr>
      <w:r>
        <w:t>STOLL kann mit klar verfügbaren Ersatzbezügen, Komfortlagen und einem dokumentierten Zustandscheck beginnen. Rücknahmewege sollten vor dem Verkauf organisiert sein. Das Serviceversprechen nennt Leistungen, Preise und Verfügbarkeit verständlich. Umweltvorteile werden nur mit belastbarer Bilanz und klarer Bezugsgröße beziffert. Ein kleines funktionierendes Reparatursystem ist überzeugender als ein umfassendes Kreislaufversprechen ohne nachgewiesenen Materialweg.</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Zirkularität entsteht durch reale Nutzungsdauer und funktionierende Rücknahme. Ein hochwertiges Schlafsystem kann durch austauschbare Bezüge, erneuerbare Komfortlagen und langfristigen Service länger nutzbar bleiben.</w:t>
      </w:r>
    </w:p>
    <w:p>
      <w:pPr>
        <w:pStyle w:val="Heading1"/>
      </w:pPr>
      <w:r>
        <w:t>Quellen und Grenzen der Übertragbarkeit</w:t>
      </w:r>
    </w:p>
    <w:p>
      <w:pPr>
        <w:keepNext/>
        <w:keepLines/>
      </w:pPr>
      <w:r>
        <w:t xml:space="preserve">[1] </w:t>
      </w:r>
      <w:hyperlink r:id="rId11">
        <w:r>
          <w:rPr>
            <w:color w:val="155D76"/>
          </w:rPr>
          <w:t>Mattress Recycling Council Life Cycle Analysis 2024</w:t>
        </w:r>
      </w:hyperlink>
      <w:r>
        <w:br/>
        <w:t>Auftraggeberfinanzierte kritisch geprüfte regionale LCA. Zugriff 30 September 2026.</w:t>
      </w:r>
    </w:p>
    <w:p>
      <w:pPr>
        <w:keepNext/>
        <w:keepLines/>
      </w:pPr>
      <w:r>
        <w:t xml:space="preserve">[2] </w:t>
      </w:r>
      <w:hyperlink r:id="rId12">
        <w:r>
          <w:rPr>
            <w:color w:val="155D76"/>
          </w:rPr>
          <w:t>Verordnung EU 2024 1781 Ökodesign nachhaltiger Produkte</w:t>
        </w:r>
      </w:hyperlink>
      <w:r>
        <w:br/>
        <w:t>Rahmenrecht; konkrete produktbezogene Anforderungen gesondert prüfen. Zugriff 30 September 2026.</w:t>
      </w:r>
    </w:p>
    <w:p>
      <w:pPr>
        <w:keepNext/>
        <w:keepLines/>
      </w:pPr>
      <w:r>
        <w:t xml:space="preserve">[3] </w:t>
      </w:r>
      <w:hyperlink r:id="rId13">
        <w:r>
          <w:rPr>
            <w:color w:val="155D76"/>
          </w:rPr>
          <w:t>MRC Research Completed Reports</w:t>
        </w:r>
      </w:hyperlink>
      <w:r>
        <w:br/>
        <w:t>Originalberichte zu Materialströmen und Nutzungsdaten. Zugriff 30 September 2026.</w:t>
      </w:r>
    </w:p>
    <w:p>
      <w:r>
        <w:rPr>
          <w:i/>
        </w:rPr>
        <w:t>Begleitseite: 57.html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57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attressrecyclingcouncil.org/wp-content/uploads/2024/06/MRC-MattressRecycleLCA_Report_v1.0_CriticallyReviewed_06-06-2024.pdf" TargetMode="External"/><Relationship Id="rId12" Type="http://schemas.openxmlformats.org/officeDocument/2006/relationships/hyperlink" Target="https://eur-lex.europa.eu/eli/reg/2024/1781/oj/eng" TargetMode="External"/><Relationship Id="rId13" Type="http://schemas.openxmlformats.org/officeDocument/2006/relationships/hyperlink" Target="https://mattressrecyclingcouncil.org/research-completed-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