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Modulare Matratzen bei körperlichen Veränderungen</w:t>
      </w:r>
    </w:p>
    <w:p>
      <w:pPr>
        <w:spacing w:after="240"/>
      </w:pPr>
      <w:r>
        <w:t>Thema 55  |  Technik und Zukunft</w:t>
      </w:r>
    </w:p>
    <w:p>
      <w:r>
        <w:rPr>
          <w:b/>
        </w:rPr>
        <w:t>Austauschbarkeit ist nur wertvoll wenn die Anpassung funktional geprüft wird</w:t>
      </w:r>
    </w:p>
    <w:p>
      <w:pPr>
        <w:widowControl/>
      </w:pPr>
      <w:r>
        <w:t>Schwangerschaft, Gewichtsveränderung, Verletzung oder eingeschränkte Beweglichkeit können die Anforderungen an ein Bett verändern. Austauschbare Zonen und Schichten bieten dafür eine plausible Möglichkeit. Ein modulares System ist jedoch nicht automatisch ergonomisch überlegen. Übergänge, Haltbarkeit, Verfügbarkeit und die richtige Zuordnung der Module entscheiden über den Nutzen. Die Analyse betrachtet modulare Anpassung als Serviceaufgabe und trennt allgemeine Konstruktion von medizinisch notwendigen Lagerungsmaßnahmen.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Welche Veränderung soll ausgeglichen werden</w:t>
      </w:r>
    </w:p>
    <w:p>
      <w:pPr>
        <w:widowControl/>
      </w:pPr>
      <w:r>
        <w:t>Eine Gewichtszunahme verändert die Belastung anders als eine schmerzhafte Schulter oder eine vorübergehend eingeschränkte Drehfähigkeit. Ein einzelner Härtewechsel kann deshalb nicht alle Situationen lösen. Zunächst muss das konkrete Ziel benannt werden: weniger lokaler Druck, bessere Unterstützung, leichteres Aufstehen oder eine bestimmte freigegebene Schlaflage.</w:t>
      </w:r>
    </w:p>
    <w:p>
      <w:pPr>
        <w:widowControl/>
      </w:pPr>
      <w:r>
        <w:t>Die gesamte Kombination aus Rahmen, Kern, Topper und Kissen bleibt relevant. Eine weichere Schulterzone verändert möglicherweise die notwendige Kissenhöhe. Ein dickerer Topper erhöht die Sitzkante und kann die Wirkung einzelner Module abschwächen. Anpassung sollte daher als Systemprüfung erfolgen, nicht als isolierter Austausch eines Bauteils.</w:t>
      </w:r>
    </w:p>
    <w:p>
      <w:pPr>
        <w:pStyle w:val="Heading1"/>
      </w:pPr>
      <w:r>
        <w:t>2 Schwangerschaft als dynamische Situation</w:t>
      </w:r>
    </w:p>
    <w:p>
      <w:pPr>
        <w:widowControl/>
      </w:pPr>
      <w:r>
        <w:t>Mit fortschreitender Schwangerschaft verändern sich Körperform, Komfort und Lagerungsbedürfnisse. NICE empfiehlt, nach 28 Schwangerschaftswochen das Einschlafen in Rückenlage zu vermeiden und gegebenenfalls Kissen zur Unterstützung der Lage zu erwägen. [1] Daraus folgt keine Empfehlung einer bestimmten modularen Matratzenhärte.</w:t>
      </w:r>
    </w:p>
    <w:p>
      <w:pPr>
        <w:widowControl/>
      </w:pPr>
      <w:r>
        <w:t>Eine geeignete Unterlage kann bequeme Seitenlage unterstützen, ohne Bauch oder andere empfindliche Bereiche unangenehm zu belasten. Die tatsächliche Einstellung bleibt individuell. Schwangerschaftsspezifische Beschwerden oder medizinische Vorgaben gehören in die Betreuung durch die zuständige Fachperson. Ein Verkaufsalgorithmus darf daraus keine eigenständige medizinische Lagerungsanweisung machen.</w:t>
      </w:r>
    </w:p>
    <w:p>
      <w:pPr>
        <w:pStyle w:val="Heading1"/>
      </w:pPr>
      <w:r>
        <w:t>3 Verletzung und eingeschränkte Mobilität</w:t>
      </w:r>
    </w:p>
    <w:p>
      <w:pPr>
        <w:widowControl/>
      </w:pPr>
      <w:r>
        <w:t>Nach einer Verletzung können Schmerzen, Bewegungseinschränkung oder medizinische Belastungsgrenzen die Nutzung bestimmen. Ein weicheres Modul kann lokal entlasten, aber das Aufrichten erschweren. Ein höheres Bett kann den Transfer erleichtern oder bei ungünstiger Höhe die Füße vom Boden entfernen. Die Wirkung ist daher an konkreten Bewegungsaufgaben zu prüfen.</w:t>
      </w:r>
    </w:p>
    <w:p>
      <w:pPr>
        <w:widowControl/>
      </w:pPr>
      <w:r>
        <w:t>Bei Dekubitusrisiko sind medizinisch geeignete Unterlagen und ein Versorgungskonzept erforderlich. Leitlinien behandeln Druckentlastung als Teil einer umfassenderen Prävention. [2] Eine modulare Komfortmatratze ist nicht automatisch eine therapeutische Druckentlastungsmatratze. Diese Produktkategorien sollten klar unterschieden werden.</w:t>
      </w:r>
    </w:p>
    <w:p>
      <w:pPr>
        <w:pStyle w:val="Heading1"/>
      </w:pPr>
      <w:r>
        <w:t>4 Technische Anforderungen an Module</w:t>
      </w:r>
    </w:p>
    <w:p>
      <w:pPr>
        <w:widowControl/>
      </w:pPr>
      <w:r>
        <w:t>Module müssen zuverlässig positioniert bleiben und dürfen keine störenden Spalten oder Kanten erzeugen. Unterschiedliche Alterung benachbarter Elemente kann Übergänge verändern. Ein neues weiches Modul neben einem älteren komprimierten Bereich ist nicht dieselbe Konstruktion wie das ursprüngliche System.</w:t>
      </w:r>
    </w:p>
    <w:p>
      <w:pPr>
        <w:widowControl/>
      </w:pPr>
      <w:r>
        <w:t>Für die Servicefähigkeit sind eindeutige Kennzeichnung, kompatible Abmessungen, dokumentierte Einbaurichtung und gesicherte Nachlieferbarkeit wichtig. Eine lange versprochene Anpassbarkeit ist wenig wert, wenn passende Ersatzteile nach kurzer Zeit verschwinden. Der Bezug muss wiederholtes Öffnen und Schließen sowie die vorgesehenen Kombinationen tolerieren.</w:t>
      </w:r>
    </w:p>
    <w:p>
      <w:pPr>
        <w:pStyle w:val="Heading1"/>
      </w:pPr>
      <w:r>
        <w:t>5 Anpassung dokumentieren und überprüfen</w:t>
      </w:r>
    </w:p>
    <w:p>
      <w:pPr>
        <w:widowControl/>
      </w:pPr>
      <w:r>
        <w:t>Die eigene Empfehlung ist ein persönlicher Einstellpass mit Ausgangskonfiguration, Änderungsgrund und Rückmeldung nach einer Erprobungsphase. Dadurch lassen sich erfolgreiche Anpassungen wiederholen und unpassende rückgängig machen. Änderungen sollten möglichst einzeln erfolgen.</w:t>
      </w:r>
    </w:p>
    <w:p>
      <w:pPr>
        <w:widowControl/>
      </w:pPr>
      <w:r>
        <w:t>Ein modulares System kann Ressourcen sparen, wenn tatsächlich nur ein Teil ersetzt wird. Dies ist aber nicht automatisch der Fall: zusätzliche Lagerhaltung, Transporte und häufiger Austausch können den Vorteil vermindern. Ergonomischer und ökologischer Nutzen müssen deshalb jeweils anhand realer Nutzung bewertet werden.</w:t>
      </w:r>
    </w:p>
    <w:p>
      <w:pPr>
        <w:pStyle w:val="Heading1"/>
      </w:pPr>
      <w:r>
        <w:t>6 Schnittstellen bestimmen die Qualität der Modularität</w:t>
      </w:r>
    </w:p>
    <w:p>
      <w:pPr>
        <w:widowControl/>
      </w:pPr>
      <w:r>
        <w:t>Ein austauschbares Element muss mechanisch und geometrisch zum Rest passen. Unterschiedliche Höhen, Kantenhärten oder Alterungszustände können einen störenden Übergang erzeugen. Die nominelle Austauschbarkeit ist deshalb nur der Anfang.</w:t>
      </w:r>
    </w:p>
    <w:p>
      <w:pPr>
        <w:widowControl/>
      </w:pPr>
      <w:r>
        <w:t>Ein guter Hersteller dokumentiert freigegebene Kombinationen und prüft die Übergänge unter Last. Die Hülle muss die Module sicher halten, ohne ihre gewünschte Wirkung vollständig zu überdecken. Für die Beratung ist wichtig, dass ein neues Teil nicht isoliert beurteilt wird. Das gesamte System wird nach jeder Änderung erneut in den relevanten Lagen und Bewegungen geprüft.</w:t>
      </w:r>
    </w:p>
    <w:p>
      <w:pPr>
        <w:pStyle w:val="Heading1"/>
      </w:pPr>
      <w:r>
        <w:t>7 Hypothetischer Fall einer vorübergehenden Schulterverletzung</w:t>
      </w:r>
    </w:p>
    <w:p>
      <w:pPr>
        <w:widowControl/>
      </w:pPr>
      <w:r>
        <w:t>Eine Person möchte wegen einer schmerzhaften Schulter ein weicheres Modul. Eine lokale Entlastung kann angenehm sein, könnte aber auch das Drehen oder die Halsposition verändern. Zudem können medizinische Belastungsgrenzen bestehen.</w:t>
      </w:r>
    </w:p>
    <w:p>
      <w:pPr>
        <w:widowControl/>
      </w:pPr>
      <w:r>
        <w:t>Die Beratung klärt deshalb zunächst die freigegebene Lage und das konkrete Ziel. Anschließend wird eine reversible Anpassung mit passendem Kissen erprobt. Nach der Erholung kann eine andere Einstellung wieder geeigneter sein. Der Vorteil der Modularität liegt hier in der Anpassbarkeit, nicht in einer garantierten therapeutischen Wirkung des weichen Elements.</w:t>
      </w:r>
    </w:p>
    <w:p>
      <w:pPr>
        <w:pStyle w:val="Heading1"/>
      </w:pPr>
      <w:r>
        <w:t>8 Servicehistorie und Rückbaubarkeit</w:t>
      </w:r>
    </w:p>
    <w:p>
      <w:pPr>
        <w:widowControl/>
      </w:pPr>
      <w:r>
        <w:t>Eine dokumentierte Konfiguration macht spätere Entscheidungen leichter. Ohne Aufzeichnung ist nach mehreren Änderungen oft unklar, welche Kombination ursprünglich gut funktionierte. Ein einfacher Einstellpass kann Modulposition, Datum und Änderungsgrund festhalten.</w:t>
      </w:r>
    </w:p>
    <w:p>
      <w:pPr>
        <w:widowControl/>
      </w:pPr>
      <w:r>
        <w:t>Rückbaubarkeit ist besonders bei vorübergehenden Veränderungen wertvoll. Die alten Teile müssen jedoch sachgerecht gelagert und weiterhin geeignet sein. Ein Serviceversprechen sollte solche praktischen Fragen einschließen. Modularität wird dadurch zu einem betreuten Prozess statt zu einer bloßen Sammlung austauschbarer Schaumstücke.</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Schultermodul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lokale Nachgiebigkeit verändern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Kissenhöhe und Übergang mitprüfen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Beckenmodul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Unterstützung anpassen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Mehr Festigkeit ist nicht immer besser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Austauschbarer Topper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Oberfläche erneuern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Zonierung des Kerns überdecken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Verstellbarer Rahmen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Lage und Transfer verändern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Medizinische Vorgaben und Sicherheit beachten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Beschwerdebezogenes Ziel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 Änderung festlegen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pauschale Härteanpassung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Übergänge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Belastet in mehreren Lagen prüfen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Spalten und Kanten erfassen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Alltagsbewegung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Drehen Aufrichten Aufstehen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 und Mobilität gemeinsam</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Serviceverfügbarkeit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Kompatibilität und Ersatzteilzusage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Langfristige Anpassbarkeit absichern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Servicepilot dokumentiert jede Ausgangskonfiguration und jede Moduländerung. Vorab werden ein Hauptziel und eine Erprobungsdauer festgelegt. Nach der Anpassung folgen eine belastete Übergangsprüfung und dieselben Bewegungsaufgaben wie zuvor. Rückmeldungen werden nach mehreren Nächten erhoben. Medizinische Vorgaben bleiben verbindlich und werden nicht durch einen Komforttest ersetzt. Langfristig werden Austauschhäufigkeit, Rücknahme, Materialmengen und Kundennutzen erfasst. So lässt sich beurteilen, ob Modularität tatsächlich weniger vollständige Neuanschaffungen und bessere Passung ermöglicht.</w:t>
      </w:r>
    </w:p>
    <w:p>
      <w:pPr>
        <w:pStyle w:val="Heading1"/>
      </w:pPr>
      <w:r>
        <w:t>Konsequenzen für STOLL und die Beratung</w:t>
      </w:r>
    </w:p>
    <w:p>
      <w:pPr>
        <w:widowControl/>
      </w:pPr>
      <w:r>
        <w:t>STOLL kann Modularität als betreuten Anpassungsservice positionieren. Entscheidend sind verfügbare Ersatzteile, dokumentierte Einstellungen und eine echte Nachkontrolle. Schwangerschaft oder Verletzung werden nicht als automatische Zuordnung zu einem Härtegrad behandelt. Die Beratung unterstützt die individuelle Situation und bezieht medizinische Vorgaben ein, wenn sie relevant sind.</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Austauschbarkeit ist nur wertvoll wenn die Anpassung funktional geprüft wird. Schwangerschaft, Gewichtsveränderung, Verletzung oder eingeschränkte Beweglichkeit können die Anforderungen an ein Bett verändern.</w:t>
      </w:r>
    </w:p>
    <w:p>
      <w:pPr>
        <w:pStyle w:val="Heading1"/>
      </w:pPr>
      <w:r>
        <w:t>Quellen und Grenzen der Übertragbarkeit</w:t>
      </w:r>
    </w:p>
    <w:p>
      <w:pPr>
        <w:keepNext/>
        <w:keepLines/>
      </w:pPr>
      <w:r>
        <w:t xml:space="preserve">[1] </w:t>
      </w:r>
      <w:hyperlink r:id="rId11">
        <w:r>
          <w:rPr>
            <w:color w:val="155D76"/>
          </w:rPr>
          <w:t>NICE Antenatal care NG201 Empfehlungen</w:t>
        </w:r>
      </w:hyperlink>
      <w:r>
        <w:br/>
        <w:t>Offizielle Empfehlung zur Einschlafposition nach 28 Wochen. Zugriff 30 September 2026.</w:t>
      </w:r>
    </w:p>
    <w:p>
      <w:pPr>
        <w:keepNext/>
        <w:keepLines/>
      </w:pPr>
      <w:r>
        <w:t xml:space="preserve">[2] </w:t>
      </w:r>
      <w:hyperlink r:id="rId12">
        <w:r>
          <w:rPr>
            <w:color w:val="155D76"/>
          </w:rPr>
          <w:t>NICE Pressure ulcers prevention and management CG179</w:t>
        </w:r>
      </w:hyperlink>
      <w:r>
        <w:br/>
        <w:t>Klinischer Kontext für Druckentlastung. Zugriff 30 September 2026.</w:t>
      </w:r>
    </w:p>
    <w:p>
      <w:pPr>
        <w:keepNext/>
        <w:keepLines/>
      </w:pPr>
      <w:r>
        <w:t xml:space="preserve">[3] </w:t>
      </w:r>
      <w:hyperlink r:id="rId13">
        <w:r>
          <w:rPr>
            <w:color w:val="155D76"/>
          </w:rPr>
          <w:t>Effect of firmness of mattress on chronic non specific low back pain</w:t>
        </w:r>
      </w:hyperlink>
      <w:r>
        <w:br/>
        <w:t>Primärstudie zu Härte; kein direkter Modularitätsnachweis. Zugriff 30 September 2026.</w:t>
      </w:r>
    </w:p>
    <w:p>
      <w:r>
        <w:rPr>
          <w:i/>
        </w:rPr>
        <w:t>Begleitseite: 55.html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55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ng201/chapter/recommendations" TargetMode="External"/><Relationship Id="rId12" Type="http://schemas.openxmlformats.org/officeDocument/2006/relationships/hyperlink" Target="https://www.nice.org.uk/guidance/cg179/chapter/Recommendations" TargetMode="External"/><Relationship Id="rId13" Type="http://schemas.openxmlformats.org/officeDocument/2006/relationships/hyperlink" Target="https://www.sciencedirect.com/science/article/pii/S01406736031479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