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Auflagedruck und Mikrozirkulation an Knochenvorsprüngen</w:t>
      </w:r>
    </w:p>
    <w:p>
      <w:pPr>
        <w:spacing w:after="240"/>
      </w:pPr>
      <w:r>
        <w:t>Thema 32  |  Körper und Schlaf</w:t>
      </w:r>
    </w:p>
    <w:p>
      <w:r>
        <w:rPr>
          <w:b/>
        </w:rPr>
        <w:t>Eine Druckkarte ist keine Durchblutungsmessung</w:t>
      </w:r>
    </w:p>
    <w:p>
      <w:pPr>
        <w:widowControl/>
      </w:pPr>
      <w:r>
        <w:t>Druckmessmatten zeigen Kräfte an der Kontaktfläche. Sie messen weder den Blutfluss einzelner Kapillaren noch die Belastung sämtlicher tiefer Gewebeschichten. Gerade an Ferse, Kreuzbein und großem Rollhügel können Druck, Scherung, Anatomie und individuelle Gefäßreaktion unterschiedlich zusammenwirken. Die zentrale Folgerung lautet deshalb: Ein niedrigerer Oberflächendruck ist ein hilfreicher mechanischer Befund, aber kein ausreichender Nachweis einer besseren Gewebeversorgung. Diese Recherche erläutert geeignete Messverfahren und zeigt, weshalb ein universeller Kapillarverschlusswert für die Matratzenberatung ungeeignet ist.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Von der äußeren Last zur inneren Gewebebelastung</w:t>
      </w:r>
    </w:p>
    <w:p>
      <w:pPr>
        <w:widowControl/>
      </w:pPr>
      <w:r>
        <w:t>Die Kontaktkraft verteilt sich über eine begrenzte Fläche. Wo knöcherne Strukturen wenig Weichgewebe über sich haben, entstehen andere Verformungen als in gut gepolsterten Regionen. Zusätzlich können tangentiale Kräfte Gewebe gegeneinander verschieben. Eine Druckkarte bildet diese innere Deformation nicht vollständig ab. Zwei Unterlagen mit ähnlichen Spitzenwerten können daher unterschiedliche biomechanische Bedingungen erzeugen.</w:t>
      </w:r>
    </w:p>
    <w:p>
      <w:pPr>
        <w:widowControl/>
      </w:pPr>
      <w:r>
        <w:t>Auch die Belastungsdauer ist entscheidend. Eine kurze Spitze während des Umdrehens ist anders zu bewerten als eine über lange Zeit aufrechterhaltene Belastung. Die Person reagiert außerdem durch Bewegung, lokale Gefäßantwort und veränderte Haltung. Die Untersuchung muss deshalb zeitliche Verläufe und anatomische Orte erfassen. Die Vereinfachung auf eine einzige rote Stelle einer Farbkarte eignet sich nicht als Beweis einer gefährdeten Durchblutung.</w:t>
      </w:r>
    </w:p>
    <w:p>
      <w:pPr>
        <w:pStyle w:val="Heading1"/>
      </w:pPr>
      <w:r>
        <w:t>2 Laser Doppler Photoplethysmographie und Sauerstoffmessung</w:t>
      </w:r>
    </w:p>
    <w:p>
      <w:pPr>
        <w:widowControl/>
      </w:pPr>
      <w:r>
        <w:t>Laser-Doppler-Verfahren erfassen bewegungsabhängige Lichtsignale als Maß für mikrovaskuläre Perfusion im untersuchten Volumen. Photoplethysmographie beschreibt optische Änderungen, die mit Blutvolumen beziehungsweise Pulsation zusammenhängen. Transkutane Sauerstoffmessung untersucht eine weitere Ebene der lokalen Versorgung. Keines dieser Verfahren entspricht einer direkten Zählung des Blutflusses in jeder einzelnen Kapillare.</w:t>
      </w:r>
    </w:p>
    <w:p>
      <w:pPr>
        <w:widowControl/>
      </w:pPr>
      <w:r>
        <w:t>Eine Untersuchung an Kreuzbeingewebe kombinierte Laser-Doppler-Messung und Photoplethysmographie in unterschiedlichen Tiefen mit Druck- und Temperaturmessung. Entscheidend waren auch druckinduzierte Gefäßerweiterung und reaktive Mehrdurchblutung nach Entlastung. Die Unterlage mit den niedrigsten Druckwerten zeigte nicht automatisch die günstigste Gefäßantwort. [1] Dieser Befund widerspricht einer simplen Umrechnung von Druckkarten in Durchblutungsqualität.</w:t>
      </w:r>
    </w:p>
    <w:p>
      <w:pPr>
        <w:pStyle w:val="Heading1"/>
      </w:pPr>
      <w:r>
        <w:t>3 Ferse und Kreuzbein reagieren unterschiedlich</w:t>
      </w:r>
    </w:p>
    <w:p>
      <w:pPr>
        <w:widowControl/>
      </w:pPr>
      <w:r>
        <w:t>Eine Studie mit 25 gesunden Freiwilligen verglich mehrere Krankenhausunterlagen mit einer harten Fläche. Dabei wurden Durchblutung und Hämoglobinparameter an Ferse und Kreuzbein erfasst. Die Ergebnisse unterschieden sich nach Körperregion; an der Ferse erwies sich die Aufrechterhaltung der Durchblutung als besonders anspruchsvoll. [2] Daraus folgt keine direkte Empfehlung eines bestimmten Wohnmatratzentyps, wohl aber die Notwendigkeit regionaler Prüfung.</w:t>
      </w:r>
    </w:p>
    <w:p>
      <w:pPr>
        <w:widowControl/>
      </w:pPr>
      <w:r>
        <w:t>Das Kreuzbein liegt in Rückenlage anders auf als der große Rollhügel in Seitenlage. Eine Unterlage, die für eine Position eine große Kontaktfläche erzeugt, kann in einer anderen Position ungünstige lokale Lasten aufweisen. In der Beratung sollten deshalb die tatsächlich genutzten Schlaflagen betrachtet werden. Bei pflegebedürftigen Menschen kommen Beweglichkeit, Hautzustand und klinische Risiken hinzu; das Materialetikett ersetzt diese Beurteilung nicht.</w:t>
      </w:r>
    </w:p>
    <w:p>
      <w:pPr>
        <w:pStyle w:val="Heading1"/>
      </w:pPr>
      <w:r>
        <w:t>4 Warum ein einzelner Grenzwert irreführt</w:t>
      </w:r>
    </w:p>
    <w:p>
      <w:pPr>
        <w:widowControl/>
      </w:pPr>
      <w:r>
        <w:t>Häufig wird ein historischer Kapillardruckwert als allgemeine Sicherheitsgrenze für Auflagedruck verwendet. Diese Gleichsetzung übersieht Unterschiede zwischen Gefäßen, Körperregionen, Messaufbauten und Personen. In einem Versuch an 16 gesunden Freiwilligen veränderten sich Sauerstoffspannung und Laser-Doppler-Signale bei unterschiedlichen äußeren Druckstufen. [3] Ein bestimmter Schwellenwert einer Messgröße war damit nicht automatisch der Schwellenwert aller anderen Größen.</w:t>
      </w:r>
    </w:p>
    <w:p>
      <w:pPr>
        <w:widowControl/>
      </w:pPr>
      <w:r>
        <w:t>Besonders problematisch sind automatische Ampeln, die aus einem Farbwechsel sofort eine medizinische Diagnose ableiten. Die Farbskala lässt sich häufig verändern, und ein einzelner Sensor kann einen anderen Kontaktzustand erzeugen als das Gewebe ohne Messmatte. Für eine seriöse Präsentation müssen Skala, Kalibrierung, Auflösung, Messdauer und Unsicherheit sichtbar bleiben. Die Aussage lautet dann „hier wurde höherer Auflagedruck gemessen“, nicht „hier wird die Blutzufuhr abgeschnitten“.</w:t>
      </w:r>
    </w:p>
    <w:p>
      <w:pPr>
        <w:pStyle w:val="Heading1"/>
      </w:pPr>
      <w:r>
        <w:t>5 Praktische Grenzen von Druckmesssystemen</w:t>
      </w:r>
    </w:p>
    <w:p>
      <w:pPr>
        <w:widowControl/>
      </w:pPr>
      <w:r>
        <w:t>Sensorauflösung, Falten im Bezug, Drift und die Steifigkeit der Messmatte beeinflussen die Ergebnisse. Besonders kleine Kontaktflächen können zwischen Sensoren liegen oder räumlich gemittelt werden. Mehr Kontaktfläche kann den durchschnittlichen Druck senken, obwohl ein lokal relevanter Spitzenbereich bestehen bleibt. Deshalb sind Mittelwert, hohe Perzentile, Kontaktfläche und zeitlicher Verlauf gemeinsam zu betrachten.</w:t>
      </w:r>
    </w:p>
    <w:p>
      <w:pPr>
        <w:widowControl/>
      </w:pPr>
      <w:r>
        <w:t>Für Produktentwicklung ist die Druckkarte ein nützliches Werkzeug, wenn sie mit Haltung, subjektivem Komfort und gegebenenfalls physiologischen Messungen verbunden wird. Für die klinische Dekubitusprävention sind darüber hinaus Risikobeurteilung, Hautkontrolle und individuelle Entlastungsmaßnahmen erforderlich. Eine hochwertige Matratze kann Teil eines Versorgungskonzepts sein, übernimmt aber nicht automatisch alle Aufgaben dieses Konzepts.</w:t>
      </w:r>
    </w:p>
    <w:p>
      <w:pPr>
        <w:pStyle w:val="Heading1"/>
      </w:pPr>
      <w:r>
        <w:t>6 Fersen Topper und lokale Perfusionsmessung</w:t>
      </w:r>
    </w:p>
    <w:p>
      <w:pPr>
        <w:widowControl/>
      </w:pPr>
      <w:r>
        <w:t>Die Ferse besitzt eine kleine tragende Fläche über einem ausgeprägten Knochenvorsprung. Eine weichere Oberfläche kann die Kontaktfläche vergrößern, während innere Gewebeverformung und Scherung weiterhin relevant bleiben. Ein niedrigerer Oberflächendruck ist daher keine vollständige Aussage über Kapillarfluss. Für die konkrete Topperfrage werden Materialdicke, Unterlage und tatsächliche Last dokumentiert. Die Ferse darf nicht isoliert betrachtet werden, wenn eine Lagerung zugleich Achillessehne oder Wade belastet.</w:t>
      </w:r>
    </w:p>
    <w:p>
      <w:pPr>
        <w:widowControl/>
      </w:pPr>
      <w:r>
        <w:t>Laser Doppler Verfahren erfassen lokale mikrovaskuläre Signale in einem begrenzten Messvolumen; transkutane Sauerstoffmessung und andere Perfusionsverfahren beantworten ergänzende Fragen. Die Messsonde kann selbst Kontakt und Druck verändern. Ausgangsdurchblutung, Temperatur, Gefäßerkrankung und Messdauer sind wichtige Einflussgrößen. Ein eigener Versuch kombiniert Druckkarte und Perfusionsmessung mit einem standardisierten Entlastungsabschnitt. Eine pauschale Kapillarverschlussgrenze wird nicht als für alle Personen gültiger Sicherheitswert verwendet. Bei gefährdeter Haut ist klinische Druckschadenprävention maßgeblich, nicht ein kurzer Verkaufsversuch.</w:t>
      </w:r>
    </w:p>
    <w:p>
      <w:pPr>
        <w:pStyle w:val="Heading1"/>
      </w:pPr>
      <w:r>
        <w:t>7 Warum Durchschnittswerte lokale Risiken verdecken können</w:t>
      </w:r>
    </w:p>
    <w:p>
      <w:pPr>
        <w:widowControl/>
      </w:pPr>
      <w:r>
        <w:t>Ein niedriger mittlerer Druck kann dadurch entstehen, dass sich die Kontaktfläche vergrößert. Ein kleiner stark belasteter Bereich kann trotzdem bestehen bleiben. Umgekehrt kann ein einzelner hoher Sensorwert durch eine Falte oder Messartefakt entstehen. Die Interpretation benötigt deshalb räumlichen Kontext und wiederholte Messung.</w:t>
      </w:r>
    </w:p>
    <w:p>
      <w:pPr>
        <w:widowControl/>
      </w:pPr>
      <w:r>
        <w:t>Auch mittlere Durchblutungswerte können unterschiedliche individuelle Reaktionen verdecken. Einige Personen zeigen eine kompensierende Mehrdurchblutung, andere nicht. Werden diese Muster gemittelt, kann ein scheinbar unauffälliges Gruppenergebnis entstehen. Für die konkrete Anwendung ist es daher sinnvoll, Reaktionsprofile und anatomische Regionen getrennt zu betrachten. Die wissenschaftliche Frage lautet nicht nur, welche Unterlage den günstigsten Durchschnitt erzielt, sondern auch, bei wem sie ungünstig wirkt und wie zuverlässig solche Unterschiede erkannt werden können.</w:t>
      </w:r>
    </w:p>
    <w:p>
      <w:pPr>
        <w:pStyle w:val="Heading1"/>
      </w:pPr>
      <w:r>
        <w:t>8 Hypothetischer Fall einer eindrucksvollen Druckkarte</w:t>
      </w:r>
    </w:p>
    <w:p>
      <w:pPr>
        <w:widowControl/>
      </w:pPr>
      <w:r>
        <w:t>Eine Vorführung zeigt auf Matratze A viele rote Bereiche und auf Matratze B fast nur Blau. Ohne identische Farbskala, gleiche Lage und gleiche Messdauer ist daraus kein belastbarer Vergleich möglich. Selbst bei korrekter Darstellung zeigt die Karte zunächst nur die gemessene Kontaktlast.</w:t>
      </w:r>
    </w:p>
    <w:p>
      <w:pPr>
        <w:widowControl/>
      </w:pPr>
      <w:r>
        <w:t>Eine sachgerechte Beratung erklärt die Skala und wiederholt die Messung in einer vergleichbaren Position. Danach werden Komfort, Haltung und Bewegung betrachtet. Wenn Matratze B zwar niedrigere Druckwerte liefert, das Umdrehen aber deutlich erschwert, ist die Entscheidung nicht abgeschlossen. Bei medizinischem Risiko kommen weitere fachliche Kriterien hinzu. Die Karte ist ein Gesprächswerkzeug und kein automatischer Beweis für bessere Kapillardurchblutung.</w:t>
      </w:r>
    </w:p>
    <w:p>
      <w:pPr>
        <w:pStyle w:val="Heading1"/>
      </w:pPr>
      <w:r>
        <w:t>9 Einheiten und scheinbare Sicherheitsgrenzen</w:t>
      </w:r>
    </w:p>
    <w:p>
      <w:pPr>
        <w:widowControl/>
      </w:pPr>
      <w:r>
        <w:t>Druck kann in Pascal, Kilopascal oder Millimeter Quecksilbersäule angegeben werden. Unterschiedliche Einheiten verändern die zugrunde liegende Größe nicht, können aber einen Vergleich unübersichtlich machen. Messberichte sollten deshalb die Einheit klar nennen und bei Umrechnungen nachvollziehbar bleiben.</w:t>
      </w:r>
    </w:p>
    <w:p>
      <w:pPr>
        <w:widowControl/>
      </w:pPr>
      <w:r>
        <w:t>Eine Zahlenlinie mit „sicher“ unterhalb und „gefährlich“ oberhalb eines einzigen Werts ist für individuelle Gewebebelastung zu grob. Dauer, Scherung, Temperatur und Gefäßreaktion fehlen darin. Ein verantwortbarer Bericht beschreibt die gemessenen Bedingungen und begrenzt die Schlussfolgerung auf diese. Die Entscheidung über klinische Druckentlastung folgt einer umfassenderen Risikobeurteilung.</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Druckmessmatte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Kontaktkraft pro 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direkter Nachweis von Blutfluss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Laser Doppler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Lokale Perfusionsänderung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Sondenlage und Messvolumen relevant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Photoplethysmographie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Optische Blutvolumenänderung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Bewegung und Tiefe beeinflussen Signal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Transkutaner Sauerstoff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Lokale Sauerstoffversorgung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mit Auflagedruck identisch</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Druckverteilung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Kalibrierte Matte und feste Skala</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Anatomische Region dokumentieren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Perfusionsreaktion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Vor während und nach Belastung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Individuelle Reaktion statt nur Gruppenmittel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Temperatur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Hautnah gleichzeitig messen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Beeinflusst Gefäßreaktion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Scherung und 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Zusätzliche biomechanische Erfassung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Fehlt in reinen Druckbildern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Laborvergleich sollte Ferse, Kreuzbein und seitlichen Hüftbereich getrennt untersuchen. Der Ablauf enthält Ruhebaseline, definierte Belastungsphase und Entlastung, jeweils mit synchronisierten Druck- und Perfusionssignalen. Matratzenreihenfolge und Messseite werden kontrolliert; Sonden dürfen keinen zusätzlichen lokalen Druck erzeugen. Die Stichprobe sollte unterschiedliche Altersgruppen und klar beschriebene Gesundheitszustände umfassen. Für gefährdete Personen ist eine medizinisch beaufsichtigte Durchführung notwendig. Primärer Endpunkt könnte eine vorab definierte Perfusionsreaktion sein; Druckspitzen bleiben ergänzende mechanische Endpunkte. Eine Druckkarte allein erfüllt dieses Studienziel nicht.</w:t>
      </w:r>
    </w:p>
    <w:p>
      <w:pPr>
        <w:pStyle w:val="Heading1"/>
      </w:pPr>
      <w:r>
        <w:t>Konsequenzen für STOLL und die Beratung</w:t>
      </w:r>
    </w:p>
    <w:p>
      <w:pPr>
        <w:widowControl/>
      </w:pPr>
      <w:r>
        <w:t>STOLL sollte Druckmessungen als Vergleichshilfe erklären und keine Durchblutungsdiagnose daraus ableiten. Im Kundengespräch sind Komfort, Körperlage und Beweglichkeit mit der Karte zu verbinden. Bei eingeschränkter Mobilität oder bestehenden Hautschäden muss die Auswahl mit der behandelnden beziehungsweise pflegerischen Fachperson abgestimmt werden. Ein Prüfbericht ist besonders wertvoll, wenn er konkrete Körperregionen, Belastungsdauer und Messverfahren nennt. Aussagen über „kapillarschonendes Liegen“ benötigen einen physiologischen Nachweis am betreffenden System.</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Eine Druckkarte ist keine Durchblutungsmessung. Druckmessmatten zeigen Kräfte an der Kontaktfläche.</w:t>
      </w:r>
    </w:p>
    <w:p>
      <w:pPr>
        <w:pStyle w:val="Heading1"/>
      </w:pPr>
      <w:r>
        <w:t>Quellen und Grenzen der Übertragbarkeit</w:t>
      </w:r>
    </w:p>
    <w:p>
      <w:pPr>
        <w:keepNext/>
        <w:keepLines/>
      </w:pPr>
      <w:r>
        <w:t xml:space="preserve">[1] </w:t>
      </w:r>
      <w:hyperlink r:id="rId11">
        <w:r>
          <w:rPr>
            <w:color w:val="155D76"/>
          </w:rPr>
          <w:t>Bergstrand und Kollegen Microcirculatory responses of sacral tissue 2015</w:t>
        </w:r>
      </w:hyperlink>
      <w:r>
        <w:br/>
        <w:t>Primärstudie mit Druck und Perfusion in mehreren Tiefen. Zugriff 30 September 2026.</w:t>
      </w:r>
    </w:p>
    <w:p>
      <w:pPr>
        <w:keepNext/>
        <w:keepLines/>
      </w:pPr>
      <w:r>
        <w:t xml:space="preserve">[2] </w:t>
      </w:r>
      <w:hyperlink r:id="rId12">
        <w:r>
          <w:rPr>
            <w:color w:val="155D76"/>
          </w:rPr>
          <w:t>A quantitative analysis of microcirculation in sore prone pressure areas 2014</w:t>
        </w:r>
      </w:hyperlink>
      <w:r>
        <w:br/>
        <w:t>Vergleichsstudie an 25 gesunden Freiwilligen. Zugriff 30 September 2026.</w:t>
      </w:r>
    </w:p>
    <w:p>
      <w:pPr>
        <w:keepNext/>
        <w:keepLines/>
      </w:pPr>
      <w:r>
        <w:t xml:space="preserve">[3] </w:t>
      </w:r>
      <w:hyperlink r:id="rId13">
        <w:r>
          <w:rPr>
            <w:color w:val="155D76"/>
          </w:rPr>
          <w:t>Influence of external pressure on transcutaneous oxygen tension and laser Doppler flowmetry 1996</w:t>
        </w:r>
      </w:hyperlink>
      <w:r>
        <w:br/>
        <w:t>Experiment mit 16 Freiwilligen; messgrößenspezifische Reaktionen. Zugriff 30 September 2026.</w:t>
      </w:r>
    </w:p>
    <w:p>
      <w:r>
        <w:rPr>
          <w:i/>
        </w:rPr>
        <w:t>Begleitseite: 32.html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6562377/" TargetMode="External"/><Relationship Id="rId12" Type="http://schemas.openxmlformats.org/officeDocument/2006/relationships/hyperlink" Target="https://pubmed.ncbi.nlm.nih.gov/24950658/" TargetMode="External"/><Relationship Id="rId13" Type="http://schemas.openxmlformats.org/officeDocument/2006/relationships/hyperlink" Target="https://pubmed.ncbi.nlm.nih.gov/88677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