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Dynamische Lendenstütze und nächtliche Muskelspannung</w:t>
      </w:r>
    </w:p>
    <w:p>
      <w:pPr>
        <w:spacing w:after="240"/>
      </w:pPr>
      <w:r>
        <w:t>Thema 120  |  Körper und Schlaf</w:t>
      </w:r>
    </w:p>
    <w:p>
      <w:r>
        <w:rPr>
          <w:b/>
        </w:rPr>
        <w:t>Nächtliche Lendenstütze braucht ein stabiles mechanisches Ziel</w:t>
      </w:r>
    </w:p>
    <w:p>
      <w:pPr>
        <w:widowControl/>
      </w:pPr>
      <w:r>
        <w:t>Eine dynamische Unterfederung kann ihre Stützwirkung verändern. Die Hypothese einer Anpassung an nächtliche Muskelspannung benötigt jedoch verlässliche Messung und eine klare Regelstrategie. REM Atonie ist nicht gleich ein flächendeckender Wegfall jeder mechanischen Stabilität.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Muskelspannung und passive Strukturen</w:t>
      </w:r>
    </w:p>
    <w:p>
      <w:pPr>
        <w:widowControl/>
      </w:pPr>
      <w:r>
        <w:t>Muskeltonus verändert sich über Wachsein und Schlafstadien. Bänder, Gelenke, Körpergeometrie und Kontaktflächen tragen aber weiterhin zur Lage bei. Eine Matratze muss deshalb nicht in jeder Phase denselben Betrag aktiv nachstellen. In Seitenlage und Rückenlage erfüllt die Lendenregion unterschiedliche Aufgaben. Ein höherer lokaler Druck kann Unterstützung oder eine störende Erhebung bedeuten. Ohne klare Geometrie und Beschwerdeprüfung ist mehr Stütze kein eindeutiges Ziel.</w:t>
      </w:r>
    </w:p>
    <w:p>
      <w:pPr>
        <w:pStyle w:val="Heading1"/>
      </w:pPr>
      <w:r>
        <w:t>2 Messung und indirekte Stellwirkung</w:t>
      </w:r>
    </w:p>
    <w:p>
      <w:pPr>
        <w:widowControl/>
      </w:pPr>
      <w:r>
        <w:t>Ein Lattenrost wirkt durch die darüberliegende Matratze. Dicke und Steifigkeit können kleine Verstellungen stark abschwächen. Drucksensoren erfassen Kontaktkräfte, aber keine direkte Muskelspannung. EMG kann Muskelaktivität messen, benötigt jedoch geeignete Ableitung und Artefaktkontrolle. Biomechanische Matratzenstudien zeigen Zusammenhänge zwischen Aufbau, Haltung und modellierten Kräften. [1] Sie belegen nicht automatisch den Nutzen einer nächtlichen REM abhängigen Regelung.</w:t>
      </w:r>
    </w:p>
    <w:p>
      <w:pPr>
        <w:pStyle w:val="Heading1"/>
      </w:pPr>
      <w:r>
        <w:t>3 Eine ruhige Regelung ist selbst eine Anforderung</w:t>
      </w:r>
    </w:p>
    <w:p>
      <w:pPr>
        <w:widowControl/>
      </w:pPr>
      <w:r>
        <w:t>Häufige Verstellungen können Bewegung oder Geräusch erzeugen und dadurch Schlaf stören. Eine gute Entwicklung begrenzt Stellweg und Geschwindigkeit, setzt bei unsicheren Signalen aus und bietet eine manuelle feste Einstellung. Der Vergleich sollte zuerst prüfen, ob eine individuell passende statische Stütze bereits genügt. Erst danach wird der Zusatznutzen der Dynamik untersucht. Sensorvalidierung gegen unabhängige Schlafmessung ist erforderlich, weil indirekte Stadienerkennung Fehler besitzt. [2]</w:t>
      </w:r>
    </w:p>
    <w:p>
      <w:pPr>
        <w:pStyle w:val="Heading1"/>
      </w:pPr>
      <w:r>
        <w:t>4 Referenzzustand und zusätzlicher Nutzen</w:t>
      </w:r>
    </w:p>
    <w:p>
      <w:pPr>
        <w:widowControl/>
      </w:pPr>
      <w:r>
        <w:t>Eine Automatik sollte gegen eine gut eingestellte statische Lösung antreten, nicht nur gegen einen bewusst unpassenden Ausgangszustand. Sonst könnte jede individuelle Grundeinstellung den beobachteten Vorteil erklären. Der Versuch erfasst außerdem, ob die Person die Dynamik bemerkt und ob Erwartungen dadurch verändert werden. Ein manuell gewählter Modus kann als weiterer Vergleich helfen. Wenn sich nur die App Note verbessert, Beschwerden und unabhängiger Schlaf aber nicht, bleibt der praktische Zusatznutzen offen. Die Entwicklung sollte deshalb wenige relevante Ziele definieren und nicht beliebig viele technische Anpassungen als Fortschritt zählen.</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Feste individuelle Stütze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Ruhige reproduzierbare Einstellung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Passt nicht zwingend zu jeder Lage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Manuell verstellbar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Anpassung an Bedürfnisse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Änderung wird bewusst vorgenommen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Automatisch dynamisch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Lagewechsel berücksichtigen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Messfehler und Eingriffe können stören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EMG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Geeignete Muskelableitung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 ist kein direkter Muskeltonus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Stellwirkung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Veränderung an der belasteten Oberfläche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Lattenbewegung kann durch Matratze gedämpft werden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Schlafstörung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Ereignisse zur Verstellung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Komfortgewinn gegen Eingriff abwägen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neutrale, individuell statische und dynamische Einstellung. Stellbewegungen, Geräusch, Druck und PSG werden synchron erfasst. Die Regelung darf nicht anhand derselben eigenen Schlafnote bewertet werden, die ihre Eingriffe auslöst. Beschwerden und Beweglichkeit bleiben unabhängige Endpunkte.</w:t>
      </w:r>
    </w:p>
    <w:p>
      <w:pPr>
        <w:pStyle w:val="Heading1"/>
      </w:pPr>
      <w:r>
        <w:t>Konsequenzen für STOLL und die Beratung</w:t>
      </w:r>
    </w:p>
    <w:p>
      <w:pPr>
        <w:widowControl/>
      </w:pPr>
      <w:r>
        <w:t>STOLL sollte den Zusatznutzen einer Automatik konkret belegen. Eine gut passende ruhige Grundeinstellung ist ein sinnvoller Referenzzustand. Muskeltonus darf nicht allein aus einem Drucksensor behauptet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Nächtliche Lendenstütze braucht ein stabiles mechanisches Ziel. Eine dynamische Unterfederung kann ihre Stützwirkung verändern.</w:t>
      </w:r>
    </w:p>
    <w:p>
      <w:pPr>
        <w:pStyle w:val="Heading1"/>
      </w:pPr>
      <w:r>
        <w:t>Quellen und Grenzen der Übertragbarkeit</w:t>
      </w:r>
    </w:p>
    <w:p>
      <w:pPr>
        <w:keepNext/>
        <w:keepLines/>
      </w:pPr>
      <w:r>
        <w:t xml:space="preserve">[1] </w:t>
      </w:r>
      <w:hyperlink r:id="rId11">
        <w:r>
          <w:rPr>
            <w:color w:val="155D76"/>
          </w:rPr>
          <w:t>Mattress stiffness spinal curvature and intervertebral disc stress</w:t>
        </w:r>
      </w:hyperlink>
      <w:r>
        <w:br/>
        <w:t>Experimentelle und rechnerische Untersuchung; modellierte innere Kräfte sind keine direkte Gewebemessung. Zugriff 30 September 2026.</w:t>
      </w:r>
    </w:p>
    <w:p>
      <w:pPr>
        <w:keepNext/>
        <w:keepLines/>
      </w:pPr>
      <w:r>
        <w:t xml:space="preserve">[2] </w:t>
      </w:r>
      <w:hyperlink r:id="rId12">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pPr>
        <w:keepNext/>
        <w:keepLines/>
      </w:pPr>
      <w:r>
        <w:t xml:space="preserve">[3] </w:t>
      </w:r>
      <w:hyperlink r:id="rId13">
        <w:r>
          <w:rPr>
            <w:color w:val="155D76"/>
          </w:rPr>
          <w:t>Spine alignment in men during lateral sleep position</w:t>
        </w:r>
      </w:hyperlink>
      <w:r>
        <w:br/>
        <w:t>Optische Messung und Modellierung bei 25 Männern; keine universelle Härtegradformel. Zugriff 30 September 2026.</w:t>
      </w:r>
    </w:p>
    <w:p>
      <w:r>
        <w:rPr>
          <w:i/>
        </w:rPr>
        <w:t>Begleitseite: 120.html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6101411/" TargetMode="External"/><Relationship Id="rId12" Type="http://schemas.openxmlformats.org/officeDocument/2006/relationships/hyperlink" Target="https://pubmed.ncbi.nlm.nih.gov/33378539/" TargetMode="External"/><Relationship Id="rId13" Type="http://schemas.openxmlformats.org/officeDocument/2006/relationships/hyperlink" Target="https://pubmed.ncbi.nlm.nih.gov/22129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