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Objektive Härte und subjektives Liegegefühl</w:t>
      </w:r>
    </w:p>
    <w:p>
      <w:pPr>
        <w:spacing w:after="240"/>
      </w:pPr>
      <w:r>
        <w:t>Thema 118  |  Körper und Schlaf</w:t>
      </w:r>
    </w:p>
    <w:p>
      <w:r>
        <w:rPr>
          <w:b/>
        </w:rPr>
        <w:t>Objektive Härte und subjektives Liegegefühl beschreiben verschiedene Ebenen</w:t>
      </w:r>
    </w:p>
    <w:p>
      <w:pPr>
        <w:widowControl/>
      </w:pPr>
      <w:r>
        <w:t>Stauchhärte oder Eindrückhärte sind definierte Material oder Produktmessungen. Das Liegegefühl umfasst zusätzlich Einsinken, Rückstellung, Temperatur, Kontaktfläche und Erwartung. Die Analyse erklärt, warum dieselbe Matratze für zwei Personen unterschiedlich fest erscheinen kann.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Ein Härtewert braucht seine Methode</w:t>
      </w:r>
    </w:p>
    <w:p>
      <w:pPr>
        <w:widowControl/>
      </w:pPr>
      <w:r>
        <w:t>ISO 2439 beschreibt Eindrückmethoden für flexible zellige Werkstoffe. [1] EN 1957 betrifft funktionelle Eigenschaften von Matratzen und Betten. [2] Probengeometrie, Eindringkörper, Geschwindigkeit, Vorbelastung und Auswertetiefe beeinflussen das Ergebnis. Ein Schaumkennwert ist deshalb nicht automatisch die Härte des fertigen Bettes. H2 oder H3 sind zudem ohne nachvollziehbare Herstellerdefinition keine universell vergleichbare Skala.</w:t>
      </w:r>
    </w:p>
    <w:p>
      <w:pPr>
        <w:pStyle w:val="Heading1"/>
      </w:pPr>
      <w:r>
        <w:t>2 Warum Wahrnehmung variiert</w:t>
      </w:r>
    </w:p>
    <w:p>
      <w:pPr>
        <w:widowControl/>
      </w:pPr>
      <w:r>
        <w:t>Körpermasse und Kontaktfläche bestimmen, welcher Bereich der Kraft Weg Kurve erreicht wird. Eine weiche Oberfläche über einem festen Kern kann beim ersten Kontakt weich wirken und unter tieferer Belastung deutlich stützen. Temperaturabhängige Schäume können sich nach einigen Minuten anders anfühlen. Ein stark rückstellendes Material kann trotz ähnlicher Eindrückkraft lebendiger wahrgenommen werden. Erwartung durch Preis, Beschreibung und Vergleichsreihenfolge kommt hinzu. Subjektive Wahrnehmung ist deshalb kein Messfehler, sondern ein eigener relevanter Endpunkt.</w:t>
      </w:r>
    </w:p>
    <w:p>
      <w:pPr>
        <w:pStyle w:val="Heading1"/>
      </w:pPr>
      <w:r>
        <w:t>3 Objektive und subjektive Daten verbinden</w:t>
      </w:r>
    </w:p>
    <w:p>
      <w:pPr>
        <w:widowControl/>
      </w:pPr>
      <w:r>
        <w:t>Eine gute Beratung kombiniert technische Angaben mit einer strukturierten Erprobung. Getrennt gefragt wird nach Oberflächenweichheit, Einsinktiefe, Druck, Beweglichkeit und gesamter Präferenz. Eine einzige Skala weich bis hart verwischt diese Dimensionen. Blind oder neutral beschriftete Vergleiche können Erwartungseinflüsse reduzieren. Die tatsächliche Unterfederung und das Kissen bleiben dokumentiert. Ziel ist nicht, die Person vom objektiven Wert zu überzeugen, sondern eine nachvollziehbare Passung zwischen Konstruktion und Erleben zu finden.</w:t>
      </w:r>
    </w:p>
    <w:p>
      <w:pPr>
        <w:pStyle w:val="Heading1"/>
      </w:pPr>
      <w:r>
        <w:t>4 Rohdichte und Härte nicht verwechseln</w:t>
      </w:r>
    </w:p>
    <w:p>
      <w:pPr>
        <w:widowControl/>
      </w:pPr>
      <w:r>
        <w:t>Rohdichte beschreibt Masse pro Volumen. Härte beschreibt eine mechanische Antwort unter definierter Belastung. Rezeptur und Zellstruktur können dazu führen, dass Schäume ähnlicher Dichte verschiedene Härten besitzen oder umgekehrt. Ein höheres Raumgewicht ist deshalb keine direkte Aussage über ein härteres Liegegefühl. Es kann für bestimmte Qualitätsfragen relevant sein, ersetzt aber keine Ermüdungsprüfung. In einer Beratung werden diese Kennwerte mit ihren Einheiten getrennt genannt. Wer Dichte, Härte und subjektive Festigkeit auf einer einzigen Skala zusammenfasst, erzeugt eine scheinbar einfache, technisch jedoch unzuverlässige Auswahlregel.</w:t>
      </w:r>
    </w:p>
    <w:p>
      <w:pPr>
        <w:pStyle w:val="Heading1"/>
      </w:pPr>
      <w:r>
        <w:t>5 Individuelle Geometrie statt eines einzigen Härtewerts</w:t>
      </w:r>
    </w:p>
    <w:p>
      <w:pPr>
        <w:widowControl/>
      </w:pPr>
      <w:r>
        <w:t>Für die ergonomische Einordnung zählen Körpermasse, Verteilung der Masse, Schulter und Beckenbreite, Beweglichkeit und bevorzugte Lage. Zwei Personen mit gleichem BMI können sehr verschiedene Auflageflächen besitzen. Die Begriffe Ektomorph und Endomorph ersetzen diese Messungen nicht. Auch das Körpergewicht allein sagt nicht, welcher Bereich des Bettes stärker nachgeben sollte. Entscheidend ist die relative Einsinktiefe benachbarter Körpersegmente im vollständigen Aufbau.</w:t>
      </w:r>
    </w:p>
    <w:p>
      <w:pPr>
        <w:widowControl/>
      </w:pPr>
      <w:r>
        <w:t>Eine sinnvolle Erfassung kombiniert eine nachvollziehbare Haltungsmessung mit der Rückmeldung der Person. Optische Marker beschreiben zunächst die äußere Oberfläche. Sie messen weder Bandscheibendruck noch Nervenbelastung direkt. Ein Computermodell kann innere Kräfte abschätzen, bleibt jedoch von Geometrie, Materialannahmen und Randbedingungen abhängig. Eine farbige Druckkarte ist ebenfalls kein Röntgenbild. Sie kann helfen, einen lokalen Kontakt zu erkennen, darf aber nicht als vollständige Diagnose der Wirbelsäule dargestellt werden.</w:t>
      </w:r>
    </w:p>
    <w:p>
      <w:pPr>
        <w:pStyle w:val="Heading1"/>
      </w:pPr>
      <w:r>
        <w:t>6 Bewegungsfreiheit und Prüfung über mehrere Nächte</w:t>
      </w:r>
    </w:p>
    <w:p>
      <w:pPr>
        <w:widowControl/>
      </w:pPr>
      <w:r>
        <w:t>Eine statisch angenehm wirkende Position muss nachts erreichbar und wieder verlassbar sein. Deshalb gehören Umlagern, Aufstützen und der Weg zum Bettrand in die Prüfung. Sehr tiefe Einbettung kann Kontaktspitzen reduzieren und zugleich das Drehen erschweren. Ein stabiler Rand kann Transfers erleichtern und an der Liegefläche dennoch als zu hart empfunden werden. Diese Zielkonflikte werden im konkreten Gebrauch geprüft, statt eine einzelne Messgröße zu maximieren.</w:t>
      </w:r>
    </w:p>
    <w:p>
      <w:pPr>
        <w:widowControl/>
      </w:pPr>
      <w:r>
        <w:t>Ein eigener Crossoverversuch hält Kissen, Bettdecke und Unterfederung konstant, sofern diese nicht die untersuchte Variable sind. Reihenfolge und Eingewöhnung werden berücksichtigt. Morgenbeschwerden, nächtliche Unterbrechungen und Funktionsfähigkeit am Tag werden getrennt dokumentiert. Schmerzbedingte Abbrüche sind ein Ergebnis. Bei neurologischen Symptomen, deutlicher Schwäche oder anhaltenden Beschwerden ersetzt ein Bettenvergleich keine medizinische Untersuchung. Die Rolle der Beratung besteht darin, eine verträgliche mechanische Passung zu finden und die Grenzen eines Verkaufstests zu benennen.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Materialhärte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Reproduzierbarer Kennwert unter Prüfbedingungen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gesamte Liegewahrnehmung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Systemhärte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Vollständiger Aufbau belastet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Abhängig von Methode und Unterbau</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Subjektive Festigkeit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Individuelles Erleben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Mehrere Wahrnehmungsdimensionen trennen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Eindrückkraft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Methode Tiefe und Geschwindigkeit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mit Rohdichte verwechseln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Liegegefühl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Mehrdimensionale Bewertung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Preis und Reihenfolge beeinflussen Urteil</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Körperkontur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Masse und Geometrie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BMI allein unzureichend</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kombiniert Kraft Weg Messungen mit neutral beschrifteten Nutzerbewertungen. Reihenfolge und Liegedauer werden standardisiert. Mehrere Körperkonturen werden einbezogen. Die Auswertung prüft Zusammenhänge, ohne eine perfekte Übereinstimmung zwischen technischer und subjektiver Skala vorauszusetzen.</w:t>
      </w:r>
    </w:p>
    <w:p>
      <w:pPr>
        <w:pStyle w:val="Heading1"/>
      </w:pPr>
      <w:r>
        <w:t>Konsequenzen für STOLL und die Beratung</w:t>
      </w:r>
    </w:p>
    <w:p>
      <w:pPr>
        <w:widowControl/>
      </w:pPr>
      <w:r>
        <w:t>STOLL sollte Härtegradangaben als Vorauswahl erklären. Die individuelle Erprobung bleibt entscheidend. Eine Person liegt nicht falsch, wenn sie einen technisch ähnlichen Aufbau anders wahrnimmt.</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Objektive Härte und subjektives Liegegefühl beschreiben verschiedene Ebenen. Stauchhärte oder Eindrückhärte sind definierte Material oder Produktmessungen.</w:t>
      </w:r>
    </w:p>
    <w:p>
      <w:pPr>
        <w:pStyle w:val="Heading1"/>
      </w:pPr>
      <w:r>
        <w:t>Quellen und Grenzen der Übertragbarkeit</w:t>
      </w:r>
    </w:p>
    <w:p>
      <w:pPr>
        <w:keepNext/>
        <w:keepLines/>
      </w:pPr>
      <w:r>
        <w:t xml:space="preserve">[1] </w:t>
      </w:r>
      <w:hyperlink r:id="rId11">
        <w:r>
          <w:rPr>
            <w:color w:val="155D76"/>
          </w:rPr>
          <w:t>ISO 2439 2008 Indentation hardness and hysteresis</w:t>
        </w:r>
      </w:hyperlink>
      <w:r>
        <w:br/>
        <w:t>Öffentliche Normbeschreibung; keine vollständige Normprüfung aus dem Abstract rekonstruieren. Zugriff 30 September 2026.</w:t>
      </w:r>
    </w:p>
    <w:p>
      <w:pPr>
        <w:keepNext/>
        <w:keepLines/>
      </w:pPr>
      <w:r>
        <w:t xml:space="preserve">[2] </w:t>
      </w:r>
      <w:hyperlink r:id="rId12">
        <w:r>
          <w:rPr>
            <w:color w:val="155D76"/>
          </w:rPr>
          <w:t>DIN EN 1957 Functional characteristics of beds and mattresses</w:t>
        </w:r>
      </w:hyperlink>
      <w:r>
        <w:br/>
        <w:t>Offizielle Normbeschreibung zur Funktions und Dauerhaltbarkeitsprüfung; keine einfache Umrechnung in zehn Nutzungsjahre. Zugriff 30 September 2026.</w:t>
      </w:r>
    </w:p>
    <w:p>
      <w:pPr>
        <w:keepNext/>
        <w:keepLines/>
      </w:pPr>
      <w:r>
        <w:t xml:space="preserve">[3] </w:t>
      </w:r>
      <w:hyperlink r:id="rId13">
        <w:r>
          <w:rPr>
            <w:color w:val="155D76"/>
          </w:rPr>
          <w:t>Spine alignment in men during lateral sleep position</w:t>
        </w:r>
      </w:hyperlink>
      <w:r>
        <w:br/>
        <w:t>Optische Messung und Modellierung bei 25 Männern; keine universelle Härtegradformel. Zugriff 30 September 2026.</w:t>
      </w:r>
    </w:p>
    <w:p>
      <w:r>
        <w:rPr>
          <w:i/>
        </w:rPr>
        <w:t>Begleitseite: 118.html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118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so.org/standard/42717.html" TargetMode="External"/><Relationship Id="rId12" Type="http://schemas.openxmlformats.org/officeDocument/2006/relationships/hyperlink" Target="https://www.dinmedia.de/en/standard/din-en-1957/152156673" TargetMode="External"/><Relationship Id="rId13" Type="http://schemas.openxmlformats.org/officeDocument/2006/relationships/hyperlink" Target="https://pubmed.ncbi.nlm.nih.gov/22129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