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Bandscheibenentlastung und nächtliche Wirbelsäulenmechanik</w:t>
      </w:r>
    </w:p>
    <w:p>
      <w:pPr>
        <w:spacing w:after="240"/>
      </w:pPr>
      <w:r>
        <w:t>Thema 115  |  Körper und Schlaf</w:t>
      </w:r>
    </w:p>
    <w:p>
      <w:r>
        <w:rPr>
          <w:b/>
        </w:rPr>
        <w:t>Nächtliche Bandscheibenrehydrierung ist kein Beweis therapeutischer Distraktion</w:t>
      </w:r>
    </w:p>
    <w:p>
      <w:pPr>
        <w:widowControl/>
      </w:pPr>
      <w:r>
        <w:t>Im Tagesverlauf verändern sich Flüssigkeitsgehalt und Geometrie der Bandscheiben unter Belastung. Die Analyse fragt, ob Matratzenzonen diesen normalen Prozess gezielt verbessern. Entlastung, Wiederaufnahme von Flüssigkeit und medizinische Traktion sind unterschiedliche Vorgänge.</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Lastwechsel und Flüssigkeit</w:t>
      </w:r>
    </w:p>
    <w:p>
      <w:pPr>
        <w:widowControl/>
      </w:pPr>
      <w:r>
        <w:t>Bandscheiben sind mechanisch und osmotisch aktive Gewebe. Tagsüber kann Belastung Flüssigkeitsverteilung und Höhe verändern; im Liegen ändern sich die Randbedingungen. Eine kleine MRI Untersuchung an fünf gesunden Personen erfasste Veränderungen nach nächtlicher Bettruhe und während anschließender Aktivität. [1] Sie beschreibt physiologische Dynamik, keine Heilung einer degenerierten Bandscheibe und keinen Vergleich spezifischer Matratzenzonen.</w:t>
      </w:r>
    </w:p>
    <w:p>
      <w:pPr>
        <w:pStyle w:val="Heading1"/>
      </w:pPr>
      <w:r>
        <w:t>2 Matratzenstütze und innere Kräfte</w:t>
      </w:r>
    </w:p>
    <w:p>
      <w:pPr>
        <w:widowControl/>
      </w:pPr>
      <w:r>
        <w:t>Eine Unterlage verändert die äußere Körperlage. Daraus können sich andere mechanische Belastungen ergeben. Experimentelle und rechnerische Forschung zur Matratzensteifigkeit untersucht solche Zusammenhänge. [2] Modellierte Bandscheibenspannung hängt jedoch von Materialannahmen, Anatomie und Randbedingungen ab. Eine gerade Außenkontur oder geringerer Oberflächendruck beweist keine direkte Distraktion. Ein Bett, das einzelne Körperbereiche stärker einsinken lässt, erzeugt auch nicht automatisch einen kontrollierten therapeutischen Zug.</w:t>
      </w:r>
    </w:p>
    <w:p>
      <w:pPr>
        <w:pStyle w:val="Heading1"/>
      </w:pPr>
      <w:r>
        <w:t>3 Welche Behauptung wäre prüfbar</w:t>
      </w:r>
    </w:p>
    <w:p>
      <w:pPr>
        <w:widowControl/>
      </w:pPr>
      <w:r>
        <w:t>Für eine spezifische Dekompressionsaussage müsste die untersuchte Zone gegen eine geeignete Vergleichsunterlage getestet werden. MRI oder andere geeignete Verfahren sollten zu standardisierten Tageszeiten und nach definierter Aktivität erfolgen. Beschwerden und Funktionsfähigkeit bleiben eigenständige klinische Endpunkte. Ein kleiner Unterschied der morgendlichen Höhe wäre nicht automatisch eine relevante Regeneration. Bei bestehenden Wirbelsäulenerkrankungen kann eine gezielte Lagerung individuell sinnvoll sein, gehört aber in einen fachlich abgestimmten Kontext.</w:t>
      </w:r>
    </w:p>
    <w:p>
      <w:pPr>
        <w:pStyle w:val="Heading1"/>
      </w:pPr>
      <w:r>
        <w:t>4 Tageszeit als potenzieller Scheineffekt</w:t>
      </w:r>
    </w:p>
    <w:p>
      <w:pPr>
        <w:widowControl/>
      </w:pPr>
      <w:r>
        <w:t>Wird eine Person auf Unterlage A abends und auf Unterlage B morgens untersucht, kann ein Unterschied der Bandscheibengeometrie allein aus dem normalen Tagesverlauf entstehen. Auch vorausgehendes Sitzen, Gehen oder Heben beeinflusst die Ausgangsbedingungen. Deshalb werden Reihenfolge, Aktivität und Messzeit standardisiert. Eine Crossoverstudie verwendet ausreichend Abstand und vergleichbare Vortage. Für die Interpretation wird außerdem zwischen absoluter Höhe und relativer Veränderung unterschieden. Ein kleiner Bildgebungsunterschied ohne passenden Funktionsgewinn bleibt ein mechanistischer Befund und sollte nicht als spürbare therapeutische Dekompression vermarktet werden.</w:t>
      </w:r>
    </w:p>
    <w:p>
      <w:pPr>
        <w:pStyle w:val="Heading1"/>
      </w:pPr>
      <w:r>
        <w:t>5 Individuelle Geometrie statt eines einzigen Härtewerts</w:t>
      </w:r>
    </w:p>
    <w:p>
      <w:pPr>
        <w:widowControl/>
      </w:pPr>
      <w:r>
        <w:t>Für die ergonomische Einordnung zählen Körpermasse, Verteilung der Masse, Schulter und Beckenbreite, Beweglichkeit und bevorzugte Lage. Zwei Personen mit gleichem BMI können sehr verschiedene Auflageflächen besitzen. Die Begriffe Ektomorph und Endomorph ersetzen diese Messungen nicht. Auch das Körpergewicht allein sagt nicht, welcher Bereich des Bettes stärker nachgeben sollte. Entscheidend ist die relative Einsinktiefe benachbarter Körpersegmente im vollständigen Aufbau.</w:t>
      </w:r>
    </w:p>
    <w:p>
      <w:pPr>
        <w:widowControl/>
      </w:pPr>
      <w:r>
        <w:t>Eine sinnvolle Erfassung kombiniert eine nachvollziehbare Haltungsmessung mit der Rückmeldung der Person. Optische Marker beschreiben zunächst die äußere Oberfläche. Sie messen weder Bandscheibendruck noch Nervenbelastung direkt. Ein Computermodell kann innere Kräfte abschätzen, bleibt jedoch von Geometrie, Materialannahmen und Randbedingungen abhängig. Eine farbige Druckkarte ist ebenfalls kein Röntgenbild. Sie kann helfen, einen lokalen Kontakt zu erkennen, darf aber nicht als vollständige Diagnose der Wirbelsäule dargestellt werden.</w:t>
      </w:r>
    </w:p>
    <w:p>
      <w:pPr>
        <w:pStyle w:val="Heading1"/>
      </w:pPr>
      <w:r>
        <w:t>6 Bewegungsfreiheit und Prüfung über mehrere Nächte</w:t>
      </w:r>
    </w:p>
    <w:p>
      <w:pPr>
        <w:widowControl/>
      </w:pPr>
      <w:r>
        <w:t>Eine statisch angenehm wirkende Position muss nachts erreichbar und wieder verlassbar sein. Deshalb gehören Umlagern, Aufstützen und der Weg zum Bettrand in die Prüfung. Sehr tiefe Einbettung kann Kontaktspitzen reduzieren und zugleich das Drehen erschweren. Ein stabiler Rand kann Transfers erleichtern und an der Liegefläche dennoch als zu hart empfunden werden. Diese Zielkonflikte werden im konkreten Gebrauch geprüft, statt eine einzelne Messgröße zu maximieren.</w:t>
      </w:r>
    </w:p>
    <w:p>
      <w:pPr>
        <w:widowControl/>
      </w:pPr>
      <w:r>
        <w:t>Ein eigener Crossoverversuch hält Kissen, Bettdecke und Unterfederung konstant, sofern diese nicht die untersuchte Variable sind. Reihenfolge und Eingewöhnung werden berücksichtigt. Morgenbeschwerden, nächtliche Unterbrechungen und Funktionsfähigkeit am Tag werden getrennt dokumentiert. Schmerzbedingte Abbrüche sind ein Ergebnis. Bei neurologischen Symptomen, deutlicher Schwäche oder anhaltenden Beschwerden ersetzt ein Bettenvergleich keine medizinische Untersuchung. Die Rolle der Beratung besteht darin, eine verträgliche mechanische Passung zu finden und die Grenzen eines Verkaufstests zu benennen.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Normale Bettruhe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Verändert Belastung und Flüssigkeitsverteilung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materialspezifische Heilung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Zonierte Unterlage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äußere Lage beeinflussen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Innere Kräfte nicht direkt aus Druckkarte sichtbar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Therapeutische Traktion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Eigenständige medizinische Intervention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mit weicher Schulterzone gleichsetzen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Bandscheibengeometrie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Standardisierte Bildgebung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Tageszeit stark relevant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Modellierte Spannung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Validiertes biomechanisches Modell</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direkte In vivo Kraftmessung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Funktion und Schmerz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Längerfristiger Verlauf</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Strukturänderung nicht automatisch klinischer Nutzen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Forschungsplan standardisiert Aktivität am Vortag, Messzeit und Liegedauer. Verschiedene Unterlagen werden in wechselnder Reihenfolge geprüft. Bildgebung und klinische Rückmeldung werden getrennt analysiert. Die Studie muss vorab definieren, welche Größe als Entlastung und welche als relevanter Nutzen gilt.</w:t>
      </w:r>
    </w:p>
    <w:p>
      <w:pPr>
        <w:pStyle w:val="Heading1"/>
      </w:pPr>
      <w:r>
        <w:t>Konsequenzen für STOLL und die Beratung</w:t>
      </w:r>
    </w:p>
    <w:p>
      <w:pPr>
        <w:widowControl/>
      </w:pPr>
      <w:r>
        <w:t>STOLL kann eine passende Stützung und angenehme Lage beschreiben. Aussagen über Bandscheibenregeneration oder therapeutische Distraktion benötigen direkte Nachweise. Ein normaler nächtlicher Flüssigkeitswechsel sollte nicht als exklusiver Produktnutzen verkauft werden.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Nächtliche Bandscheibenrehydrierung ist kein Beweis therapeutischer Distraktion. Im Tagesverlauf verändern sich Flüssigkeitsgehalt und Geometrie der Bandscheiben unter Belastung.</w:t>
      </w:r>
    </w:p>
    <w:p>
      <w:pPr>
        <w:pStyle w:val="Heading1"/>
      </w:pPr>
      <w:r>
        <w:t>Quellen und Grenzen der Übertragbarkeit</w:t>
      </w:r>
    </w:p>
    <w:p>
      <w:pPr>
        <w:keepNext/>
        <w:keepLines/>
      </w:pPr>
      <w:r>
        <w:t xml:space="preserve">[1] </w:t>
      </w:r>
      <w:hyperlink r:id="rId11">
        <w:r>
          <w:rPr>
            <w:color w:val="155D76"/>
          </w:rPr>
          <w:t>Malko et al MRI of lumbar discs after overnight bed rest and walking</w:t>
        </w:r>
      </w:hyperlink>
      <w:r>
        <w:br/>
        <w:t>Fünf gesunde Personen; physiologische Flüssigkeitsverschiebung, kein Nachweis einer therapeutischen Matratzenzone. Zugriff 30 September 2026.</w:t>
      </w:r>
    </w:p>
    <w:p>
      <w:pPr>
        <w:keepNext/>
        <w:keepLines/>
      </w:pPr>
      <w:r>
        <w:t xml:space="preserve">[2] </w:t>
      </w:r>
      <w:hyperlink r:id="rId12">
        <w:r>
          <w:rPr>
            <w:color w:val="155D76"/>
          </w:rPr>
          <w:t>Mattress stiffness spinal curvature and intervertebral disc stress</w:t>
        </w:r>
      </w:hyperlink>
      <w:r>
        <w:br/>
        <w:t>Experimentelle und rechnerische Untersuchung; modellierte innere Kräfte sind keine direkte Gewebemessung. Zugriff 30 September 2026.</w:t>
      </w:r>
    </w:p>
    <w:p>
      <w:r>
        <w:rPr>
          <w:i/>
        </w:rPr>
        <w:t>Begleitseite: 115.html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1927827/" TargetMode="External"/><Relationship Id="rId12" Type="http://schemas.openxmlformats.org/officeDocument/2006/relationships/hyperlink" Target="https://pubmed.ncbi.nlm.nih.gov/361014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