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Ermüdung von Taschenfederkernen über die Nutzungsdauer</w:t>
      </w:r>
    </w:p>
    <w:p>
      <w:pPr>
        <w:spacing w:after="240"/>
      </w:pPr>
      <w:r>
        <w:t>Thema 110  |  Klima und Materialien</w:t>
      </w:r>
    </w:p>
    <w:p>
      <w:r>
        <w:rPr>
          <w:b/>
        </w:rPr>
        <w:t>Ein Laborzyklus ist ohne validiertes Modell kein Nutzungsjahr</w:t>
      </w:r>
    </w:p>
    <w:p>
      <w:pPr>
        <w:widowControl/>
      </w:pPr>
      <w:r>
        <w:t>Taschenfederkerne können über lange Zeit funktionieren, doch Draht, Taschen, Verbindungen und Polster altern unterschiedlich. Die Analyse untersucht, wie ein behaupteter Zehnjahreszyklus belastbar bewertet werden kann. Ein pauschales Lebensdauerversprechen aus Federzahl oder Stahlart reicht nicht.</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Mehrere mögliche Ausfallwege</w:t>
      </w:r>
    </w:p>
    <w:p>
      <w:pPr>
        <w:widowControl/>
      </w:pPr>
      <w:r>
        <w:t>Stahlfedern können unter zyklischer Belastung ermüden oder ihre Geometrie verändern. Taschen und Verbindungspunkte können verschleißen, während Deckschichten sich setzen. Eine wahrgenommene Mulde muss deshalb nicht durch eine gebrochene Feder entstehen. Rand, Unterbox und Klebstoffe beeinflussen die Gesamtfunktion. Für die Diagnose wird zwischen Materialbruch, bleibender Verformung, Härteverlust und Änderung des Liegegefühls unterschieden.</w:t>
      </w:r>
    </w:p>
    <w:p>
      <w:pPr>
        <w:pStyle w:val="Heading1"/>
      </w:pPr>
      <w:r>
        <w:t>2 Beschleunigte Prüfung und reale Nutzung</w:t>
      </w:r>
    </w:p>
    <w:p>
      <w:pPr>
        <w:widowControl/>
      </w:pPr>
      <w:r>
        <w:t>EN 1957 beschreibt Methoden zur Ermittlung funktioneller Eigenschaften und Dauerhaltbarkeit von Matratzen und vollständigen Betten. [1] Die öffentliche Normbeschreibung liefert keinen allgemeinen Umrechnungsfaktor, wonach eine bestimmte Zahl von Prüfzyklen exakt zehn Jahren entspräche. Reale Belastung hängt von Körpermasse, Bewegungen, Feuchte, Nutzung am Rand und Unterbau ab. Eine beschleunigte Prüfung kann zudem andere Ausfallmechanismen verstärken als der Alltag. Die Übertragung braucht daher Feldrückläufer und nachvollziehbare Modellannahmen.</w:t>
      </w:r>
    </w:p>
    <w:p>
      <w:pPr>
        <w:pStyle w:val="Heading1"/>
      </w:pPr>
      <w:r>
        <w:t>3 Ein sinnvoller Zehnjahresansatz</w:t>
      </w:r>
    </w:p>
    <w:p>
      <w:pPr>
        <w:widowControl/>
      </w:pPr>
      <w:r>
        <w:t>Der Entwicklungsplan kombiniert standardisierte Beanspruchung, Klimawechsel und langfristig dokumentierte Nutzungsfälle. Ausgangskennwerte und Zwischenmessungen zeigen, ob eine Änderung früh, kontinuierlich oder erst nach einer Schwelle auftritt. Reparaturen und ausgetauschte Komfortlagen werden mitgeführt, damit die Lebensdauer des Gesamtsystems nicht mit der eines einzelnen Kerns verwechselt wird. Garantiebedingungen sind eine vertragliche Aussage und kein Ersatz für Messdaten. Eine breite Streuung wird als solche berichtet; ein Mittelwert darf frühe Ausfälle nicht verdecken.</w:t>
      </w:r>
    </w:p>
    <w:p>
      <w:pPr>
        <w:pStyle w:val="Heading1"/>
      </w:pPr>
      <w:r>
        <w:t>4 Funktionsende als vorab definierte Entscheidung</w:t>
      </w:r>
    </w:p>
    <w:p>
      <w:pPr>
        <w:widowControl/>
      </w:pPr>
      <w:r>
        <w:t>Eine Matratze kann technisch intakt sein und für die Person nicht mehr passend wirken. Umgekehrt kann ein austauschbarer Bezug verschleißen, während der Kern funktionell bleibt. Eine Lebensdauerstudie muss deshalb festlegen, ob das Ende durch Bruch, Höhenverlust, Härteänderung, Hygiene oder Nutzerakzeptanz bestimmt wird. Mehrere Endpunkte können parallel berichtet werden. Ein Servicekonzept profitiert davon, Verschleiß lokal zu diagnostizieren und nur betroffene Komponenten zu ersetzen. Dies setzt voraus, dass die Konstruktion tatsächlich trennbar ist und Ersatzteile verfügbar sind. Eine lange Garantie allein garantiert diese Reparierbarkeit nicht.</w:t>
      </w:r>
    </w:p>
    <w:p>
      <w:pPr>
        <w:pStyle w:val="Heading1"/>
      </w:pPr>
      <w:r>
        <w:t>5 Vom Einzelmaterial zum vollständigen Aufbau</w:t>
      </w:r>
    </w:p>
    <w:p>
      <w:pPr>
        <w:widowControl/>
      </w:pPr>
      <w:r>
        <w:t>Ein Materialkennwert wird an einer definierten Probe erhoben. Im Bett wirken hingegen Bezug, Füllung, Verbindungsschichten, Kern, Unterfederung und Schutzauflage zusammen. Für eine belastbare Entwicklung sind deshalb zwei Versuchsreihen erforderlich. In der ersten wird eine Komponente bei sonst identischem Aufbau variiert. In der zweiten werden die tatsächlich angebotenen Gesamtsysteme verglichen. Die erste Reihe erklärt Ursachen; die zweite prüft die Nutzung. Beide Ergebnisse sollten im Datenblatt unterscheidbar bleiben.</w:t>
      </w:r>
    </w:p>
    <w:p>
      <w:pPr>
        <w:widowControl/>
      </w:pPr>
      <w:r>
        <w:t>Kompression verändert Dicke und Kontaktflächen und kann Strömungswege verschließen. Feuchtigkeit verändert die Benetzung, die Wärmeübertragung und teilweise das mechanische Verhalten. Eine Probe, die im trockenen Neuzustand gut abschneidet, ist deshalb noch nicht über ihre Nutzungsdauer charakterisiert. Für einen Vergleich werden Vorbehandlung, Raumklima, Belastung, Probenrichtung und Erholungszeit dokumentiert. Bei Naturmaterialien gehören Streuungen zwischen Chargen zum Ergebnis. Ein einzelner Spitzenwert bildet diese Streuung nicht ab.</w:t>
      </w:r>
    </w:p>
    <w:p>
      <w:pPr>
        <w:pStyle w:val="Heading1"/>
      </w:pPr>
      <w:r>
        <w:t>6 Alterung Pflege und nachvollziehbare Leistungsangaben</w:t>
      </w:r>
    </w:p>
    <w:p>
      <w:pPr>
        <w:widowControl/>
      </w:pPr>
      <w:r>
        <w:t>Ein eigener Prüfplan sollte mindestens den Neuzustand, einen definierten beanspruchten Zustand und die Erholung nach der Beanspruchung unterscheiden. Pflege erfolgt nach der tatsächlichen Freigabe des Produkts. Unzulässige Waschtemperaturen würden eher eine Fehlanwendung untersuchen als die vorgesehene Lebensdauer. Für nicht waschbare Kerne sind Feuchtewechsel, Kompressionszyklen und die Trennbarkeit austauschbarer Auflagen eigene Fragen. Messungen vor und nach der Pflege müssen dieselbe Methode verwenden.</w:t>
      </w:r>
    </w:p>
    <w:p>
      <w:pPr>
        <w:widowControl/>
      </w:pPr>
      <w:r>
        <w:t>Der Bericht nennt nicht nur Mittelwerte, sondern Einzelwerte, Streuung und erkennbare Ausfälle. Aus einer beschleunigten Laborbeanspruchung werden ohne validiertes Alterungsmodell keine exakten Alltagsjahre abgeleitet. Ein stärkerer Materialeffekt ist außerdem nicht zwangsläufig ein besserer Schlaf: Komfort, Beweglichkeit und Pflegeaufwand können Zielkonflikte erzeugen. Eine nachvollziehbare Leistungsangabe benennt daher die konkrete Eigenschaft und die Prüfbedingungen. Der anschließende Nutzertest prüft getrennt, ob diese Eigenschaft für die vorgesehene Personengruppe überhaupt relevant ist.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Federdraht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Mechanische Ermüdung untersuchbar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einziger Ausfallweg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Taschen und Verbund</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Halten die Architektur zusammen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Verschleiß kann Gesamtfunktion verändern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Komfortlagen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Können zuerst nachgeben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Austausch kann Kern weiter nutzbar halten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Höhenverlust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Unter definierter Erholung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Polster und Kern getrennt lokalisieren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Härteänderung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Gleiche Messmethode über Zeit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Subjektives Gefühl kann anders reagieren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Ausfallrate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Mehrere Exemplare und Feldfälle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Ein einzelner Dauertest beschreibt keine Verteilung</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Prüfplan erfasst Härteprofil, Höhe, Geräusche und sichtbare Schäden in festen Intervallen. Belastung und Klimazyklen werden dokumentiert. Feldrückläufer mit bekannter Nutzung ergänzen die Laborserie. Eine Zehnjahresprognose wird mit Unsicherheitsbereich und klarer Definition des Funktionsendes angegeben.</w:t>
      </w:r>
    </w:p>
    <w:p>
      <w:pPr>
        <w:pStyle w:val="Heading1"/>
      </w:pPr>
      <w:r>
        <w:t>Konsequenzen für STOLL und die Beratung</w:t>
      </w:r>
    </w:p>
    <w:p>
      <w:pPr>
        <w:widowControl/>
      </w:pPr>
      <w:r>
        <w:t>STOLL kann langlebige Konstruktion durch austauschbare Komponenten und dokumentierte Prüfungen erklären. Die Aussage zehn Jahre wie neu ist ohne passende Daten zu weitgehend. Garantie, erwartete Nutzung und technisch gemessene Veränderung werden getrennt dargestellt.</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Ein Laborzyklus ist ohne validiertes Modell kein Nutzungsjahr. Taschenfederkerne können über lange Zeit funktionieren, doch Draht, Taschen, Verbindungen und Polster altern unterschiedlich.</w:t>
      </w:r>
    </w:p>
    <w:p>
      <w:pPr>
        <w:pStyle w:val="Heading1"/>
      </w:pPr>
      <w:r>
        <w:t>Quellen und Grenzen der Übertragbarkeit</w:t>
      </w:r>
    </w:p>
    <w:p>
      <w:pPr>
        <w:keepNext/>
        <w:keepLines/>
      </w:pPr>
      <w:r>
        <w:t xml:space="preserve">[1] </w:t>
      </w:r>
      <w:hyperlink r:id="rId11">
        <w:r>
          <w:rPr>
            <w:color w:val="155D76"/>
          </w:rPr>
          <w:t>DIN EN 1957 Functional characteristics of beds and mattresses</w:t>
        </w:r>
      </w:hyperlink>
      <w:r>
        <w:br/>
        <w:t>Offizielle Normbeschreibung zur Funktions und Dauerhaltbarkeitsprüfung; keine einfache Umrechnung in zehn Nutzungsjahre. Zugriff 30 September 2026.</w:t>
      </w:r>
    </w:p>
    <w:p>
      <w:pPr>
        <w:keepNext/>
        <w:keepLines/>
      </w:pPr>
      <w:r>
        <w:t xml:space="preserve">[2] </w:t>
      </w:r>
      <w:hyperlink r:id="rId12">
        <w:r>
          <w:rPr>
            <w:color w:val="155D76"/>
          </w:rPr>
          <w:t>Simmons Generation Top Produktblatt 2024</w:t>
        </w:r>
      </w:hyperlink>
      <w:r>
        <w:br/>
        <w:t>Herstellerangaben zu Duetto; kein unabhängiger klinischer Vergleich und keine Bestätigung jedes Feder in Feder Begriffs. Zugriff 30 September 2026.</w:t>
      </w:r>
    </w:p>
    <w:p>
      <w:r>
        <w:rPr>
          <w:i/>
        </w:rPr>
        <w:t>Begleitseite: 110.html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110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dinmedia.de/en/standard/din-en-1957/152156673" TargetMode="External"/><Relationship Id="rId12" Type="http://schemas.openxmlformats.org/officeDocument/2006/relationships/hyperlink" Target="https://simmons.fr/img/cms/FT_SIMMONS_GENERATION%202024%20TOP.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